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5" w:type="dxa"/>
        <w:jc w:val="center"/>
        <w:tblInd w:w="-72" w:type="dxa"/>
        <w:tblLayout w:type="fixed"/>
        <w:tblLook w:val="0000"/>
      </w:tblPr>
      <w:tblGrid>
        <w:gridCol w:w="3585"/>
        <w:gridCol w:w="6360"/>
      </w:tblGrid>
      <w:tr w:rsidR="00AC2BB2" w:rsidRPr="004F397A" w:rsidTr="00B800D5">
        <w:trPr>
          <w:trHeight w:val="1141"/>
          <w:jc w:val="center"/>
        </w:trPr>
        <w:tc>
          <w:tcPr>
            <w:tcW w:w="3585" w:type="dxa"/>
          </w:tcPr>
          <w:p w:rsidR="00AC2BB2" w:rsidRPr="004F397A" w:rsidRDefault="00AC2BB2" w:rsidP="00B800D5">
            <w:pPr>
              <w:jc w:val="center"/>
            </w:pPr>
            <w:r w:rsidRPr="004F397A">
              <w:t>UBND TỈNH ĐỒNG NAI</w:t>
            </w:r>
          </w:p>
          <w:p w:rsidR="00AC2BB2" w:rsidRPr="004F397A" w:rsidRDefault="00AC2BB2" w:rsidP="00B800D5">
            <w:pPr>
              <w:jc w:val="center"/>
              <w:rPr>
                <w:b/>
              </w:rPr>
            </w:pPr>
            <w:r w:rsidRPr="004F397A">
              <w:rPr>
                <w:b/>
              </w:rPr>
              <w:t xml:space="preserve">SỞ NỘI VỤ </w:t>
            </w:r>
          </w:p>
          <w:p w:rsidR="00AC2BB2" w:rsidRPr="004F397A" w:rsidRDefault="009C08A5" w:rsidP="00B800D5">
            <w:pPr>
              <w:jc w:val="center"/>
            </w:pPr>
            <w:r>
              <w:rPr>
                <w:noProof/>
              </w:rPr>
              <w:pict>
                <v:line id="_x0000_s1030" style="position:absolute;left:0;text-align:left;z-index:251665408" from="65.55pt,4.4pt" to="108.9pt,4.4pt"/>
              </w:pict>
            </w:r>
          </w:p>
          <w:p w:rsidR="00AC2BB2" w:rsidRPr="004F397A" w:rsidRDefault="00AC2BB2" w:rsidP="00B800D5">
            <w:pPr>
              <w:jc w:val="center"/>
            </w:pPr>
            <w:r w:rsidRPr="004F397A">
              <w:t xml:space="preserve">    Số:            /TTr-SNV</w:t>
            </w:r>
          </w:p>
        </w:tc>
        <w:tc>
          <w:tcPr>
            <w:tcW w:w="6360" w:type="dxa"/>
          </w:tcPr>
          <w:p w:rsidR="00AC2BB2" w:rsidRPr="004F397A" w:rsidRDefault="00AC2BB2" w:rsidP="00B800D5">
            <w:pPr>
              <w:jc w:val="center"/>
              <w:rPr>
                <w:b/>
              </w:rPr>
            </w:pPr>
            <w:r w:rsidRPr="004F397A">
              <w:rPr>
                <w:b/>
              </w:rPr>
              <w:t xml:space="preserve">    CỘNG HÒA XÃ HỘI CHỦ NGHĨA VIỆT NAM</w:t>
            </w:r>
          </w:p>
          <w:p w:rsidR="00AC2BB2" w:rsidRPr="004F397A" w:rsidRDefault="00AC2BB2" w:rsidP="00B800D5">
            <w:pPr>
              <w:jc w:val="center"/>
              <w:rPr>
                <w:b/>
              </w:rPr>
            </w:pPr>
            <w:r w:rsidRPr="004F397A">
              <w:rPr>
                <w:b/>
              </w:rPr>
              <w:t>Độc lập-Tự do-Hạnh phúc</w:t>
            </w:r>
          </w:p>
          <w:p w:rsidR="00AC2BB2" w:rsidRPr="004F397A" w:rsidRDefault="009C08A5" w:rsidP="00B800D5">
            <w:pPr>
              <w:jc w:val="center"/>
              <w:rPr>
                <w:i/>
              </w:rPr>
            </w:pPr>
            <w:r w:rsidRPr="009C08A5">
              <w:rPr>
                <w:b/>
                <w:noProof/>
              </w:rPr>
              <w:pict>
                <v:line id="_x0000_s1029" style="position:absolute;left:0;text-align:left;z-index:251664384" from="78.45pt,3.8pt" to="228.2pt,3.8pt"/>
              </w:pict>
            </w:r>
          </w:p>
          <w:p w:rsidR="00AC2BB2" w:rsidRPr="004F397A" w:rsidRDefault="00AC2BB2" w:rsidP="00AC2BB2">
            <w:pPr>
              <w:jc w:val="center"/>
              <w:rPr>
                <w:i/>
              </w:rPr>
            </w:pPr>
            <w:r w:rsidRPr="004F397A">
              <w:rPr>
                <w:i/>
              </w:rPr>
              <w:t xml:space="preserve">    Đồng Nai, ngày        tháng      năm 202</w:t>
            </w:r>
            <w:r>
              <w:rPr>
                <w:i/>
              </w:rPr>
              <w:t>1</w:t>
            </w:r>
          </w:p>
        </w:tc>
      </w:tr>
    </w:tbl>
    <w:p w:rsidR="00AC2BB2" w:rsidRPr="004F397A" w:rsidRDefault="009C08A5" w:rsidP="00AC2BB2">
      <w:r w:rsidRPr="009C08A5">
        <w:rPr>
          <w:b/>
          <w:noProof/>
        </w:rPr>
        <w:pict>
          <v:rect id="_x0000_s1032" style="position:absolute;margin-left:49.1pt;margin-top:11.4pt;width:79.8pt;height:23.1pt;z-index:251667456;mso-position-horizontal-relative:text;mso-position-vertical-relative:text">
            <v:textbox>
              <w:txbxContent>
                <w:p w:rsidR="00AC2BB2" w:rsidRDefault="00AC2BB2" w:rsidP="00AC2BB2">
                  <w:pPr>
                    <w:jc w:val="center"/>
                  </w:pPr>
                  <w:r w:rsidRPr="00E967B2">
                    <w:rPr>
                      <w:b/>
                      <w:sz w:val="26"/>
                      <w:szCs w:val="26"/>
                    </w:rPr>
                    <w:t>DỰ</w:t>
                  </w:r>
                  <w:r w:rsidRPr="00E967B2">
                    <w:rPr>
                      <w:sz w:val="26"/>
                      <w:szCs w:val="26"/>
                    </w:rPr>
                    <w:t xml:space="preserve"> </w:t>
                  </w:r>
                  <w:r w:rsidRPr="00537300">
                    <w:rPr>
                      <w:b/>
                    </w:rPr>
                    <w:t>THẢO</w:t>
                  </w:r>
                </w:p>
              </w:txbxContent>
            </v:textbox>
          </v:rect>
        </w:pict>
      </w:r>
    </w:p>
    <w:p w:rsidR="00AC2BB2" w:rsidRPr="004F397A" w:rsidRDefault="00AC2BB2" w:rsidP="00AC2BB2">
      <w:pPr>
        <w:jc w:val="center"/>
        <w:rPr>
          <w:b/>
        </w:rPr>
      </w:pPr>
    </w:p>
    <w:p w:rsidR="00AC2BB2" w:rsidRPr="004F397A" w:rsidRDefault="00AC2BB2" w:rsidP="00AC2BB2">
      <w:pPr>
        <w:jc w:val="center"/>
        <w:rPr>
          <w:b/>
        </w:rPr>
      </w:pPr>
      <w:r w:rsidRPr="004F397A">
        <w:rPr>
          <w:b/>
        </w:rPr>
        <w:t>TỜ TRÌNH</w:t>
      </w:r>
    </w:p>
    <w:p w:rsidR="00AC2BB2" w:rsidRDefault="00AC2BB2" w:rsidP="00AC2BB2">
      <w:pPr>
        <w:jc w:val="center"/>
        <w:rPr>
          <w:b/>
        </w:rPr>
      </w:pPr>
      <w:r>
        <w:rPr>
          <w:b/>
        </w:rPr>
        <w:t>Dự thảo Quyết định q</w:t>
      </w:r>
      <w:r w:rsidRPr="00F76F71">
        <w:rPr>
          <w:b/>
        </w:rPr>
        <w:t xml:space="preserve">uy định </w:t>
      </w:r>
      <w:r>
        <w:rPr>
          <w:b/>
        </w:rPr>
        <w:t>tiêu chuẩn, quản lý và</w:t>
      </w:r>
    </w:p>
    <w:p w:rsidR="00AC2BB2" w:rsidRDefault="00AC2BB2" w:rsidP="00AC2BB2">
      <w:pPr>
        <w:jc w:val="center"/>
        <w:rPr>
          <w:b/>
        </w:rPr>
      </w:pPr>
      <w:r>
        <w:rPr>
          <w:b/>
        </w:rPr>
        <w:t xml:space="preserve">sử dụng </w:t>
      </w:r>
      <w:r w:rsidRPr="00F76F71">
        <w:rPr>
          <w:b/>
        </w:rPr>
        <w:t>người hoạt động</w:t>
      </w:r>
      <w:r>
        <w:rPr>
          <w:b/>
        </w:rPr>
        <w:t xml:space="preserve"> </w:t>
      </w:r>
      <w:r w:rsidRPr="00F76F71">
        <w:rPr>
          <w:b/>
        </w:rPr>
        <w:t>không chuy</w:t>
      </w:r>
      <w:r>
        <w:rPr>
          <w:b/>
        </w:rPr>
        <w:t>ên trách ở xã, phường, thị trấn</w:t>
      </w:r>
    </w:p>
    <w:p w:rsidR="00AC2BB2" w:rsidRPr="00F76F71" w:rsidRDefault="00AC2BB2" w:rsidP="00AC2BB2">
      <w:pPr>
        <w:jc w:val="center"/>
        <w:rPr>
          <w:b/>
        </w:rPr>
      </w:pPr>
      <w:r w:rsidRPr="00F76F71">
        <w:rPr>
          <w:b/>
        </w:rPr>
        <w:t>trên địa bàn tỉnh</w:t>
      </w:r>
      <w:r>
        <w:rPr>
          <w:b/>
        </w:rPr>
        <w:t xml:space="preserve"> Đồng Nai</w:t>
      </w:r>
    </w:p>
    <w:p w:rsidR="00AC2BB2" w:rsidRPr="004F397A" w:rsidRDefault="009C08A5" w:rsidP="00AC2BB2">
      <w:pPr>
        <w:tabs>
          <w:tab w:val="center" w:pos="4680"/>
          <w:tab w:val="left" w:pos="6555"/>
        </w:tabs>
        <w:rPr>
          <w:b/>
        </w:rPr>
      </w:pPr>
      <w:r>
        <w:rPr>
          <w:b/>
          <w:noProof/>
        </w:rPr>
        <w:pict>
          <v:shapetype id="_x0000_t32" coordsize="21600,21600" o:spt="32" o:oned="t" path="m,l21600,21600e" filled="f">
            <v:path arrowok="t" fillok="f" o:connecttype="none"/>
            <o:lock v:ext="edit" shapetype="t"/>
          </v:shapetype>
          <v:shape id="_x0000_s1033" type="#_x0000_t32" style="position:absolute;margin-left:175.5pt;margin-top:4.75pt;width:116.25pt;height:0;z-index:251668480" o:connectortype="straight"/>
        </w:pict>
      </w:r>
      <w:r w:rsidR="00AC2BB2">
        <w:rPr>
          <w:b/>
        </w:rPr>
        <w:tab/>
      </w:r>
      <w:r w:rsidR="00AC2BB2">
        <w:rPr>
          <w:b/>
        </w:rPr>
        <w:tab/>
      </w:r>
    </w:p>
    <w:p w:rsidR="00AC2BB2" w:rsidRPr="004F397A" w:rsidRDefault="00AC2BB2" w:rsidP="00AC2BB2">
      <w:pPr>
        <w:shd w:val="clear" w:color="auto" w:fill="FFFFFF"/>
        <w:jc w:val="center"/>
        <w:rPr>
          <w:b/>
        </w:rPr>
      </w:pPr>
    </w:p>
    <w:p w:rsidR="00AC2BB2" w:rsidRPr="004F397A" w:rsidRDefault="00AC2BB2" w:rsidP="00AC2BB2">
      <w:pPr>
        <w:shd w:val="clear" w:color="auto" w:fill="FFFFFF"/>
        <w:jc w:val="center"/>
      </w:pPr>
      <w:r w:rsidRPr="004F397A">
        <w:rPr>
          <w:b/>
          <w:vertAlign w:val="superscript"/>
        </w:rPr>
        <w:tab/>
      </w:r>
      <w:r w:rsidRPr="004F397A">
        <w:rPr>
          <w:vertAlign w:val="superscript"/>
        </w:rPr>
        <w:t xml:space="preserve">   </w:t>
      </w:r>
      <w:r w:rsidRPr="004F397A">
        <w:t>Kính gử</w:t>
      </w:r>
      <w:r>
        <w:t>i: Ủy ban nhân dân tỉnh</w:t>
      </w:r>
      <w:r w:rsidRPr="004F397A">
        <w:t>.</w:t>
      </w:r>
    </w:p>
    <w:p w:rsidR="00BB3AC9" w:rsidRPr="00257E6E" w:rsidRDefault="00BB3AC9" w:rsidP="00257E6E">
      <w:pPr>
        <w:widowControl w:val="0"/>
        <w:tabs>
          <w:tab w:val="right" w:leader="dot" w:pos="7920"/>
        </w:tabs>
        <w:spacing w:before="120" w:after="120" w:line="380" w:lineRule="exact"/>
        <w:jc w:val="both"/>
        <w:rPr>
          <w:sz w:val="2"/>
        </w:rPr>
      </w:pPr>
    </w:p>
    <w:p w:rsidR="00BB3AC9" w:rsidRPr="00257E6E" w:rsidRDefault="00AC2BB2" w:rsidP="00257E6E">
      <w:pPr>
        <w:spacing w:before="120" w:after="120" w:line="380" w:lineRule="exact"/>
        <w:jc w:val="both"/>
      </w:pPr>
      <w:r w:rsidRPr="00257E6E">
        <w:tab/>
      </w:r>
      <w:r w:rsidR="00BB3AC9" w:rsidRPr="00257E6E">
        <w:t>Thực hiện quy định của Luật Ban hành văn bản quy phạm pháp luật</w:t>
      </w:r>
      <w:r w:rsidRPr="00257E6E">
        <w:t xml:space="preserve"> năm 2015; </w:t>
      </w:r>
      <w:r w:rsidRPr="00257E6E">
        <w:rPr>
          <w:rFonts w:eastAsia="Calibri"/>
          <w:color w:val="000000"/>
          <w:highlight w:val="white"/>
          <w:lang w:val="vi-VN"/>
        </w:rPr>
        <w:t>Sở Nội vụ k</w:t>
      </w:r>
      <w:r w:rsidRPr="00257E6E">
        <w:rPr>
          <w:rFonts w:eastAsia="Calibri"/>
          <w:color w:val="000000"/>
          <w:highlight w:val="white"/>
        </w:rPr>
        <w:t>ính trình </w:t>
      </w:r>
      <w:r w:rsidRPr="00257E6E">
        <w:rPr>
          <w:rFonts w:eastAsia="Calibri"/>
          <w:color w:val="000000"/>
          <w:highlight w:val="white"/>
          <w:lang w:val="vi-VN"/>
        </w:rPr>
        <w:t>Ủy ban nh</w:t>
      </w:r>
      <w:r w:rsidRPr="00257E6E">
        <w:rPr>
          <w:rFonts w:eastAsia="Calibri"/>
          <w:color w:val="000000"/>
          <w:highlight w:val="white"/>
        </w:rPr>
        <w:t>ân dân t</w:t>
      </w:r>
      <w:r w:rsidRPr="00257E6E">
        <w:rPr>
          <w:rFonts w:eastAsia="Calibri"/>
          <w:color w:val="000000"/>
          <w:highlight w:val="white"/>
          <w:lang w:val="vi-VN"/>
        </w:rPr>
        <w:t>ỉnh dự thảo Quyết định</w:t>
      </w:r>
      <w:r w:rsidRPr="00257E6E">
        <w:rPr>
          <w:rFonts w:eastAsia="Calibri"/>
          <w:color w:val="000000"/>
        </w:rPr>
        <w:t xml:space="preserve"> </w:t>
      </w:r>
      <w:r w:rsidRPr="00257E6E">
        <w:t>quy định tiêu chuẩn, quản lý và sử dụng người hoạt động không chuyên trách ở xã, phường, thị trấn trên địa bàn tỉnh,</w:t>
      </w:r>
      <w:r w:rsidR="00BB3AC9" w:rsidRPr="00257E6E">
        <w:t xml:space="preserve"> như sau:</w:t>
      </w:r>
    </w:p>
    <w:p w:rsidR="00BB3AC9" w:rsidRPr="00257E6E" w:rsidRDefault="000330BA" w:rsidP="00257E6E">
      <w:pPr>
        <w:widowControl w:val="0"/>
        <w:tabs>
          <w:tab w:val="right" w:leader="dot" w:pos="7920"/>
        </w:tabs>
        <w:spacing w:before="120" w:after="120" w:line="380" w:lineRule="exact"/>
        <w:ind w:firstLine="709"/>
        <w:jc w:val="both"/>
        <w:rPr>
          <w:b/>
        </w:rPr>
      </w:pPr>
      <w:r w:rsidRPr="00257E6E">
        <w:rPr>
          <w:b/>
        </w:rPr>
        <w:t>I. SỰ CẦN THIẾT BAN HÀNH QUYẾT ĐỊNH</w:t>
      </w:r>
    </w:p>
    <w:p w:rsidR="000330BA" w:rsidRPr="00257E6E" w:rsidRDefault="000330BA" w:rsidP="00257E6E">
      <w:pPr>
        <w:pStyle w:val="NormalWeb"/>
        <w:shd w:val="clear" w:color="auto" w:fill="FFFFFF"/>
        <w:spacing w:after="120" w:line="380" w:lineRule="exact"/>
        <w:ind w:firstLine="720"/>
        <w:jc w:val="both"/>
        <w:textAlignment w:val="baseline"/>
        <w:rPr>
          <w:sz w:val="28"/>
          <w:szCs w:val="28"/>
        </w:rPr>
      </w:pPr>
      <w:r w:rsidRPr="00257E6E">
        <w:rPr>
          <w:sz w:val="28"/>
          <w:szCs w:val="28"/>
        </w:rPr>
        <w:t>Thực hiện Nghị quyết số 77/2017/NQ-HĐND ngày 07/7/2017 của HĐND tỉnh quy định s</w:t>
      </w:r>
      <w:r w:rsidRPr="00257E6E">
        <w:rPr>
          <w:color w:val="000000"/>
          <w:sz w:val="28"/>
          <w:szCs w:val="28"/>
          <w:shd w:val="clear" w:color="auto" w:fill="FFFFFF"/>
        </w:rPr>
        <w:t>ố lượng, chức danh, chế độ, chính sách đối với những người hoạt động không chuyên trách ở cấp xã, ấp (khu phố) trên địa bàn tỉnh; n</w:t>
      </w:r>
      <w:r w:rsidRPr="00257E6E">
        <w:rPr>
          <w:sz w:val="28"/>
          <w:szCs w:val="28"/>
        </w:rPr>
        <w:t>gày 20/4/2018, Ủy ban nhân dân tỉnh ban hành Quyết định số 22/2018/QĐ-UBND quy định tiêu chuẩn, quản lý, sử dụng người hoạt động không chuyên trách ở xã, phường, thị trấn trên địa bàn tỉnh. Qua quá trình triển khai thực hiện, Quyết định số 22/2018/QĐ-UBND bước đầu đã đạt được một số kết quả nhất định như tổ chức bộ máy hoạt động thống nhất, ổn định; các chức danh người hoạt động không chuyên trách cấp xã phù hợp với tình hình thực tế ở địa phương; quy chế, chế độ làm việc; quyền lợi, nghĩa vụ; tiêu chuẩn, nhiệm vụ; công tác tuyển dụng…người hoạt động không chuyên trách cấp xã được quy định rõ ràng, cụ thể, tạo thuận lợi cho các địa phương trong quá trình quản lý, sử dụng.</w:t>
      </w:r>
    </w:p>
    <w:p w:rsidR="000330BA" w:rsidRPr="00325182" w:rsidRDefault="000330BA" w:rsidP="00257E6E">
      <w:pPr>
        <w:pStyle w:val="FootnoteText"/>
        <w:spacing w:before="120" w:after="120" w:line="380" w:lineRule="exact"/>
        <w:ind w:firstLine="720"/>
        <w:jc w:val="both"/>
        <w:rPr>
          <w:spacing w:val="-4"/>
          <w:sz w:val="28"/>
          <w:szCs w:val="28"/>
        </w:rPr>
      </w:pPr>
      <w:r w:rsidRPr="00257E6E">
        <w:rPr>
          <w:sz w:val="28"/>
          <w:szCs w:val="28"/>
        </w:rPr>
        <w:t>N</w:t>
      </w:r>
      <w:r w:rsidRPr="00257E6E">
        <w:rPr>
          <w:sz w:val="28"/>
          <w:szCs w:val="28"/>
          <w:lang w:val="vi-VN"/>
        </w:rPr>
        <w:t>gày 24</w:t>
      </w:r>
      <w:r w:rsidRPr="00257E6E">
        <w:rPr>
          <w:sz w:val="28"/>
          <w:szCs w:val="28"/>
        </w:rPr>
        <w:t>/</w:t>
      </w:r>
      <w:r w:rsidRPr="00257E6E">
        <w:rPr>
          <w:sz w:val="28"/>
          <w:szCs w:val="28"/>
          <w:lang w:val="vi-VN"/>
        </w:rPr>
        <w:t>4</w:t>
      </w:r>
      <w:r w:rsidRPr="00257E6E">
        <w:rPr>
          <w:sz w:val="28"/>
          <w:szCs w:val="28"/>
        </w:rPr>
        <w:t>/</w:t>
      </w:r>
      <w:r w:rsidRPr="00257E6E">
        <w:rPr>
          <w:sz w:val="28"/>
          <w:szCs w:val="28"/>
          <w:lang w:val="vi-VN"/>
        </w:rPr>
        <w:t>2019</w:t>
      </w:r>
      <w:r w:rsidRPr="00257E6E">
        <w:rPr>
          <w:sz w:val="28"/>
          <w:szCs w:val="28"/>
        </w:rPr>
        <w:t xml:space="preserve">, Chính phủ ban hành </w:t>
      </w:r>
      <w:r w:rsidRPr="00257E6E">
        <w:rPr>
          <w:sz w:val="28"/>
          <w:szCs w:val="28"/>
          <w:lang w:val="vi-VN"/>
        </w:rPr>
        <w:t>Nghị định số 34/2019/NĐ-CP</w:t>
      </w:r>
      <w:r w:rsidRPr="00257E6E">
        <w:rPr>
          <w:sz w:val="28"/>
          <w:szCs w:val="28"/>
        </w:rPr>
        <w:t xml:space="preserve"> sửa đổi, bổ sung một số quy định về cán bộ, công chức cấp xã và người hoạt động không chuyên trách ở cấp xã, ở thôn, tổ dân phố; trong đó, có </w:t>
      </w:r>
      <w:r w:rsidRPr="00257E6E">
        <w:rPr>
          <w:sz w:val="28"/>
          <w:szCs w:val="28"/>
          <w:lang w:val="vi-VN"/>
        </w:rPr>
        <w:t>quy định số lượng người hoạt động không chuyên trách cấp xã</w:t>
      </w:r>
      <w:r w:rsidRPr="00257E6E">
        <w:rPr>
          <w:sz w:val="28"/>
          <w:szCs w:val="28"/>
        </w:rPr>
        <w:t xml:space="preserve"> </w:t>
      </w:r>
      <w:r w:rsidRPr="00257E6E">
        <w:rPr>
          <w:sz w:val="28"/>
          <w:szCs w:val="28"/>
          <w:lang w:val="vi-VN"/>
        </w:rPr>
        <w:t>giảm</w:t>
      </w:r>
      <w:r w:rsidRPr="00257E6E">
        <w:rPr>
          <w:sz w:val="28"/>
          <w:szCs w:val="28"/>
        </w:rPr>
        <w:t xml:space="preserve"> </w:t>
      </w:r>
      <w:r w:rsidRPr="00257E6E">
        <w:rPr>
          <w:sz w:val="28"/>
          <w:szCs w:val="28"/>
          <w:lang w:val="vi-VN"/>
        </w:rPr>
        <w:t>so với thực tế đang thực hiện</w:t>
      </w:r>
      <w:r w:rsidRPr="00257E6E">
        <w:rPr>
          <w:rStyle w:val="FootnoteReference"/>
          <w:sz w:val="28"/>
          <w:szCs w:val="28"/>
          <w:lang w:val="vi-VN"/>
        </w:rPr>
        <w:footnoteReference w:id="2"/>
      </w:r>
      <w:r w:rsidRPr="00257E6E">
        <w:rPr>
          <w:sz w:val="28"/>
          <w:szCs w:val="28"/>
        </w:rPr>
        <w:t xml:space="preserve">. Để phù hợp với quy định của Chính phủ, ngày 10/7/2020, Hội đồng nhân dân </w:t>
      </w:r>
      <w:r w:rsidRPr="00325182">
        <w:rPr>
          <w:spacing w:val="-4"/>
          <w:sz w:val="28"/>
          <w:szCs w:val="28"/>
        </w:rPr>
        <w:lastRenderedPageBreak/>
        <w:t>tỉnh ban hành Nghị quyết số 01/2020/NQ-HĐND</w:t>
      </w:r>
      <w:r w:rsidRPr="00325182">
        <w:rPr>
          <w:rStyle w:val="FootnoteReference"/>
          <w:spacing w:val="-4"/>
          <w:sz w:val="28"/>
          <w:szCs w:val="28"/>
        </w:rPr>
        <w:footnoteReference w:id="3"/>
      </w:r>
      <w:r w:rsidRPr="00325182">
        <w:rPr>
          <w:spacing w:val="-4"/>
          <w:sz w:val="28"/>
          <w:szCs w:val="28"/>
        </w:rPr>
        <w:t xml:space="preserve"> quy định lại số lượng </w:t>
      </w:r>
      <w:r w:rsidRPr="00325182">
        <w:rPr>
          <w:spacing w:val="-4"/>
          <w:sz w:val="28"/>
          <w:szCs w:val="28"/>
          <w:lang w:val="vi-VN"/>
        </w:rPr>
        <w:t xml:space="preserve">người hoạt động không chuyên trách cấp xã </w:t>
      </w:r>
      <w:r w:rsidRPr="00325182">
        <w:rPr>
          <w:spacing w:val="-4"/>
          <w:sz w:val="28"/>
          <w:szCs w:val="28"/>
        </w:rPr>
        <w:t>và thay thế Nghị quyết số 77/2017/NQ-HĐND</w:t>
      </w:r>
      <w:r w:rsidRPr="00325182">
        <w:rPr>
          <w:spacing w:val="-4"/>
          <w:sz w:val="28"/>
          <w:szCs w:val="28"/>
          <w:lang w:val="vi-VN"/>
        </w:rPr>
        <w:t>.</w:t>
      </w:r>
    </w:p>
    <w:p w:rsidR="000330BA" w:rsidRPr="00325182" w:rsidRDefault="000330BA" w:rsidP="00257E6E">
      <w:pPr>
        <w:pStyle w:val="FootnoteText"/>
        <w:spacing w:before="120" w:after="120" w:line="380" w:lineRule="exact"/>
        <w:ind w:firstLine="720"/>
        <w:jc w:val="both"/>
        <w:rPr>
          <w:spacing w:val="-2"/>
          <w:sz w:val="28"/>
          <w:szCs w:val="28"/>
        </w:rPr>
      </w:pPr>
      <w:r w:rsidRPr="00325182">
        <w:rPr>
          <w:spacing w:val="-2"/>
          <w:sz w:val="28"/>
          <w:szCs w:val="28"/>
        </w:rPr>
        <w:t>Việc xây dựng quy định tại  Quyết định số 22/2018/QĐ-UBND được căn cứ vào Nghị quyết số 77/2017/NQ-HĐND. Nay, Nghị quyết số 77/2017/NQ-HĐND được thay thế bằng Nghị quyết số 01/2020/NQ-HĐND; do đó, ngày 06/11/2020, UBND tỉnh ban hành Quyết định số 49/2020/QĐ-UBND  bãi bỏ một số văn bản quy phạm pháp luật, trong đó, có Quyết định số 22/2018/QĐ-UBND.</w:t>
      </w:r>
    </w:p>
    <w:p w:rsidR="000330BA" w:rsidRPr="00325182" w:rsidRDefault="000330BA" w:rsidP="00257E6E">
      <w:pPr>
        <w:pStyle w:val="NormalWeb"/>
        <w:shd w:val="clear" w:color="auto" w:fill="FFFFFF"/>
        <w:spacing w:after="120" w:line="380" w:lineRule="exact"/>
        <w:ind w:firstLine="720"/>
        <w:jc w:val="both"/>
        <w:textAlignment w:val="baseline"/>
        <w:rPr>
          <w:spacing w:val="-2"/>
          <w:sz w:val="28"/>
          <w:szCs w:val="28"/>
        </w:rPr>
      </w:pPr>
      <w:r w:rsidRPr="00325182">
        <w:rPr>
          <w:spacing w:val="-2"/>
          <w:sz w:val="28"/>
          <w:szCs w:val="28"/>
        </w:rPr>
        <w:t>Qua tổng hợp ý kiến phản ánh của các địa phương</w:t>
      </w:r>
      <w:r w:rsidRPr="00325182">
        <w:rPr>
          <w:rStyle w:val="FootnoteReference"/>
          <w:spacing w:val="-2"/>
          <w:sz w:val="28"/>
          <w:szCs w:val="28"/>
        </w:rPr>
        <w:footnoteReference w:id="4"/>
      </w:r>
      <w:r w:rsidRPr="00325182">
        <w:rPr>
          <w:spacing w:val="-2"/>
          <w:sz w:val="28"/>
          <w:szCs w:val="28"/>
        </w:rPr>
        <w:t xml:space="preserve">, việc bãi bỏ Quyết định số 22/2018/QĐ-UBND tại thời điểm này gây khó khăn cho địa phương trong việc xác định tiêu chuẩn, tuyển dụng, quản lý, sử dụng…người hoạt động không chuyên trách cấp xã. Do đó, việc ban hành Quyết định </w:t>
      </w:r>
      <w:r w:rsidRPr="00325182">
        <w:rPr>
          <w:noProof/>
          <w:spacing w:val="-2"/>
          <w:sz w:val="28"/>
          <w:szCs w:val="28"/>
        </w:rPr>
        <w:t>quy định tiêu chuẩn, quản lý, sử dụng người hoạt động không chuyên trách ở xã, phường, thị trấn trên địa bàn tỉnh là cần thiết nhằm tạo</w:t>
      </w:r>
      <w:r w:rsidRPr="00325182">
        <w:rPr>
          <w:spacing w:val="-2"/>
          <w:sz w:val="28"/>
          <w:szCs w:val="28"/>
        </w:rPr>
        <w:t xml:space="preserve"> cơ sở pháp lý cho các địa phương quản lý có hệ thống đối với những người hoạt động không chuyên trách cấp xã trên địa bàn tỉnh ngay sau khi Nghị quyết số 01/2020/NQ-HĐND có hiệu lực thi hành. </w:t>
      </w:r>
    </w:p>
    <w:p w:rsidR="00BB3AC9" w:rsidRPr="00257E6E" w:rsidRDefault="00BB3AC9" w:rsidP="00257E6E">
      <w:pPr>
        <w:widowControl w:val="0"/>
        <w:tabs>
          <w:tab w:val="right" w:leader="dot" w:pos="7920"/>
        </w:tabs>
        <w:spacing w:before="120" w:after="120" w:line="380" w:lineRule="exact"/>
        <w:ind w:firstLine="709"/>
        <w:jc w:val="both"/>
        <w:rPr>
          <w:b/>
        </w:rPr>
      </w:pPr>
      <w:r w:rsidRPr="00257E6E">
        <w:rPr>
          <w:b/>
        </w:rPr>
        <w:t>II. MỤC</w:t>
      </w:r>
      <w:r w:rsidR="000330BA" w:rsidRPr="00257E6E">
        <w:rPr>
          <w:b/>
        </w:rPr>
        <w:t xml:space="preserve"> ĐÍCH, QUAN ĐIỂM XÂY DỰNG DỰ THẢO QUYẾT ĐỊNH</w:t>
      </w:r>
    </w:p>
    <w:p w:rsidR="000330BA" w:rsidRPr="00257E6E" w:rsidRDefault="00BB3AC9" w:rsidP="00257E6E">
      <w:pPr>
        <w:widowControl w:val="0"/>
        <w:tabs>
          <w:tab w:val="right" w:leader="dot" w:pos="7920"/>
        </w:tabs>
        <w:spacing w:before="120" w:after="120" w:line="380" w:lineRule="exact"/>
        <w:ind w:firstLine="709"/>
        <w:jc w:val="both"/>
        <w:rPr>
          <w:b/>
        </w:rPr>
      </w:pPr>
      <w:r w:rsidRPr="00257E6E">
        <w:rPr>
          <w:b/>
        </w:rPr>
        <w:t>1. Mục đích</w:t>
      </w:r>
    </w:p>
    <w:p w:rsidR="000330BA" w:rsidRPr="00257E6E" w:rsidRDefault="000330BA" w:rsidP="00257E6E">
      <w:pPr>
        <w:widowControl w:val="0"/>
        <w:tabs>
          <w:tab w:val="right" w:leader="dot" w:pos="7920"/>
        </w:tabs>
        <w:spacing w:before="120" w:after="120" w:line="380" w:lineRule="exact"/>
        <w:ind w:firstLine="709"/>
        <w:jc w:val="both"/>
        <w:rPr>
          <w:shd w:val="clear" w:color="auto" w:fill="FFFFFF"/>
        </w:rPr>
      </w:pPr>
      <w:r w:rsidRPr="00257E6E">
        <w:t xml:space="preserve">- </w:t>
      </w:r>
      <w:r w:rsidRPr="00257E6E">
        <w:rPr>
          <w:shd w:val="clear" w:color="auto" w:fill="FFFFFF"/>
        </w:rPr>
        <w:t xml:space="preserve">Việc ban hành </w:t>
      </w:r>
      <w:r w:rsidRPr="00257E6E">
        <w:rPr>
          <w:noProof/>
        </w:rPr>
        <w:t>quy định tiêu chuẩn, quản lý, sử dụng người hoạt động không chuyên trách cấp xã</w:t>
      </w:r>
      <w:r w:rsidRPr="00257E6E">
        <w:t xml:space="preserve"> sẽ giải quyết được yêu cầu cấp thiết được xuất phát từ tình hình thực tế tại địa phương mà hiện nay luật chưa quy định.</w:t>
      </w:r>
    </w:p>
    <w:p w:rsidR="000330BA" w:rsidRPr="00325182" w:rsidRDefault="000330BA" w:rsidP="00257E6E">
      <w:pPr>
        <w:widowControl w:val="0"/>
        <w:tabs>
          <w:tab w:val="right" w:leader="dot" w:pos="7920"/>
        </w:tabs>
        <w:spacing w:before="120" w:after="120" w:line="380" w:lineRule="exact"/>
        <w:ind w:firstLine="709"/>
        <w:jc w:val="both"/>
        <w:rPr>
          <w:spacing w:val="-4"/>
        </w:rPr>
      </w:pPr>
      <w:r w:rsidRPr="00325182">
        <w:rPr>
          <w:spacing w:val="-4"/>
        </w:rPr>
        <w:t>- Tạo cơ sở pháp lý để các địa phương thuận lợi trong công tác quản lý, sử dụng</w:t>
      </w:r>
      <w:r w:rsidR="00793850" w:rsidRPr="00325182">
        <w:rPr>
          <w:spacing w:val="-4"/>
        </w:rPr>
        <w:t>, đặc biệt là trong công tác tuyển dụng, điều động, đào tạo, bồi dưỡng, đánh giá, khen thưởng, xử lý kỷ luật đối với người hoạt động không chuyên trách cấp xã.</w:t>
      </w:r>
    </w:p>
    <w:p w:rsidR="00793850" w:rsidRPr="00257E6E" w:rsidRDefault="00793850" w:rsidP="00257E6E">
      <w:pPr>
        <w:widowControl w:val="0"/>
        <w:tabs>
          <w:tab w:val="right" w:leader="dot" w:pos="7920"/>
        </w:tabs>
        <w:spacing w:before="120" w:after="120" w:line="380" w:lineRule="exact"/>
        <w:ind w:firstLine="709"/>
        <w:jc w:val="both"/>
      </w:pPr>
      <w:r w:rsidRPr="00257E6E">
        <w:t>- Đảm bảo quyền lợi về chế độ làm việc, ch</w:t>
      </w:r>
      <w:r w:rsidR="00CA4E59" w:rsidRPr="00257E6E">
        <w:t>ính sách được hưởng cũng như nghĩa vụ mà người hoạt động không chuyên trách cấp xã phải tuân thủ trong quá trình thực hiện nhiệm vụ.</w:t>
      </w:r>
    </w:p>
    <w:p w:rsidR="00BB3AC9" w:rsidRPr="00257E6E" w:rsidRDefault="00BB3AC9" w:rsidP="00257E6E">
      <w:pPr>
        <w:widowControl w:val="0"/>
        <w:tabs>
          <w:tab w:val="right" w:leader="dot" w:pos="7920"/>
        </w:tabs>
        <w:spacing w:before="120" w:after="120" w:line="380" w:lineRule="exact"/>
        <w:ind w:firstLine="709"/>
        <w:jc w:val="both"/>
        <w:rPr>
          <w:b/>
        </w:rPr>
      </w:pPr>
      <w:r w:rsidRPr="00257E6E">
        <w:rPr>
          <w:b/>
        </w:rPr>
        <w:t xml:space="preserve">2. Quan điểm xây dựng dự </w:t>
      </w:r>
      <w:r w:rsidR="00F010E6">
        <w:rPr>
          <w:b/>
        </w:rPr>
        <w:t>thảo Q</w:t>
      </w:r>
      <w:r w:rsidR="00CA4E59" w:rsidRPr="00257E6E">
        <w:rPr>
          <w:b/>
        </w:rPr>
        <w:t>uyết định</w:t>
      </w:r>
    </w:p>
    <w:p w:rsidR="00CA4E59" w:rsidRPr="00257E6E" w:rsidRDefault="00CA4E59" w:rsidP="00257E6E">
      <w:pPr>
        <w:spacing w:before="120" w:after="120" w:line="380" w:lineRule="exact"/>
        <w:ind w:firstLine="720"/>
        <w:jc w:val="both"/>
      </w:pPr>
      <w:r w:rsidRPr="00257E6E">
        <w:t xml:space="preserve">Việc xây dựng dự thảo Quyết định quy định tiêu chuẩn, quản lý và sử dụng người hoạt động không chuyên trách cấp xã trên địa bàn tỉnh không trái </w:t>
      </w:r>
      <w:r w:rsidRPr="00257E6E">
        <w:lastRenderedPageBreak/>
        <w:t xml:space="preserve">với quy định của Trung ương và phù hợp với thẩm quyền, tình hình thực tế của địa phương; </w:t>
      </w:r>
      <w:r w:rsidRPr="00257E6E">
        <w:rPr>
          <w:lang w:val="nl-NL"/>
        </w:rPr>
        <w:t xml:space="preserve">khắc phục được những khó khăn, vướng mắc sau khi các văn bản trước đây có liên quan của Ủy ban nhân dân tỉnh hết hiệu lực thi hành, </w:t>
      </w:r>
      <w:r w:rsidRPr="00257E6E">
        <w:t>đồng thời đảm bảo đúng quy trình xây dựng và ban hành văn bản quy phạm pháp luật.</w:t>
      </w:r>
    </w:p>
    <w:p w:rsidR="00BB3AC9" w:rsidRPr="00257E6E" w:rsidRDefault="00CA4E59" w:rsidP="00257E6E">
      <w:pPr>
        <w:widowControl w:val="0"/>
        <w:tabs>
          <w:tab w:val="right" w:leader="dot" w:pos="7920"/>
        </w:tabs>
        <w:spacing w:before="120" w:after="120" w:line="380" w:lineRule="exact"/>
        <w:ind w:firstLine="709"/>
        <w:jc w:val="both"/>
        <w:rPr>
          <w:b/>
        </w:rPr>
      </w:pPr>
      <w:r w:rsidRPr="00257E6E">
        <w:rPr>
          <w:b/>
        </w:rPr>
        <w:t>III. QUÁ TRÌNH XÂY DỰNG DỰ THẢO QUYẾT ĐỊNH</w:t>
      </w:r>
    </w:p>
    <w:p w:rsidR="00CA4E59" w:rsidRPr="00257E6E" w:rsidRDefault="00CA4E59" w:rsidP="00257E6E">
      <w:pPr>
        <w:spacing w:before="120" w:after="120" w:line="380" w:lineRule="exact"/>
        <w:ind w:firstLine="720"/>
        <w:jc w:val="both"/>
      </w:pPr>
      <w:r w:rsidRPr="00257E6E">
        <w:t xml:space="preserve">Thực hiện ý kiến chỉ đạo của Chủ tịch Ủy ban nhân dân tỉnh tại Văn bản số </w:t>
      </w:r>
      <w:r w:rsidR="001D138D" w:rsidRPr="00257E6E">
        <w:t xml:space="preserve">4063/UBND-KGVX ngày 19 tháng 4 năm 2021 về việc </w:t>
      </w:r>
      <w:r w:rsidR="001D138D" w:rsidRPr="00257E6E">
        <w:rPr>
          <w:shd w:val="clear" w:color="auto" w:fill="FFFFFF"/>
        </w:rPr>
        <w:t>chấp thuận chủ trương quy định tiêu chuẩn, quản lý, sử dụng người hoạt động không chuyên trách ở xã, phường, thị trấn trên địa bàn tỉnh</w:t>
      </w:r>
      <w:r w:rsidRPr="00257E6E">
        <w:t>. Theo đó, Sở Nội vụ đã chủ trì tham mưu dự thảo Quyết định</w:t>
      </w:r>
      <w:r w:rsidR="001D138D" w:rsidRPr="00257E6E">
        <w:t xml:space="preserve"> </w:t>
      </w:r>
      <w:r w:rsidR="001D138D" w:rsidRPr="00257E6E">
        <w:rPr>
          <w:shd w:val="clear" w:color="auto" w:fill="FFFFFF"/>
        </w:rPr>
        <w:t>quy định tiêu chuẩn, quản lý và sử dụng người hoạt động không chuyên trách ở xã, phường, thị trấn trên địa bàn tỉnh</w:t>
      </w:r>
      <w:r w:rsidR="001D138D" w:rsidRPr="00257E6E">
        <w:t xml:space="preserve"> </w:t>
      </w:r>
      <w:r w:rsidRPr="00257E6E">
        <w:t xml:space="preserve">Đồng Nai. </w:t>
      </w:r>
    </w:p>
    <w:p w:rsidR="001D138D" w:rsidRPr="00325182" w:rsidRDefault="001D138D" w:rsidP="00257E6E">
      <w:pPr>
        <w:spacing w:before="120" w:after="120" w:line="380" w:lineRule="exact"/>
        <w:ind w:firstLine="720"/>
        <w:jc w:val="both"/>
        <w:rPr>
          <w:b/>
          <w:i/>
        </w:rPr>
      </w:pPr>
      <w:r w:rsidRPr="00325182">
        <w:rPr>
          <w:b/>
          <w:i/>
        </w:rPr>
        <w:t>(Sau tổ chức lấy ý kiến của các cơ quan, đơn vị, địa phương; công khai trên cổng thông tin điện tử tỉnh và có báo cáo thẩm định của Sở Tư pháp, Sở Nội vụ sẽ tổng hợp, hoàn chỉnh nội dung này).</w:t>
      </w:r>
    </w:p>
    <w:p w:rsidR="00BB3AC9" w:rsidRPr="00257E6E" w:rsidRDefault="001D138D" w:rsidP="00257E6E">
      <w:pPr>
        <w:widowControl w:val="0"/>
        <w:tabs>
          <w:tab w:val="right" w:leader="dot" w:pos="7920"/>
        </w:tabs>
        <w:spacing w:before="120" w:after="120" w:line="380" w:lineRule="exact"/>
        <w:ind w:firstLine="709"/>
        <w:jc w:val="both"/>
        <w:rPr>
          <w:b/>
        </w:rPr>
      </w:pPr>
      <w:r w:rsidRPr="00257E6E">
        <w:rPr>
          <w:b/>
        </w:rPr>
        <w:tab/>
      </w:r>
      <w:r w:rsidR="00BB3AC9" w:rsidRPr="00257E6E">
        <w:rPr>
          <w:b/>
        </w:rPr>
        <w:t xml:space="preserve">IV. BỐ CỤC VÀ NỘI DUNG </w:t>
      </w:r>
      <w:r w:rsidRPr="00257E6E">
        <w:rPr>
          <w:b/>
        </w:rPr>
        <w:t>CƠ BẢN CỦA DỰ THẢO QUYẾT ĐỊNH</w:t>
      </w:r>
    </w:p>
    <w:p w:rsidR="00BB3AC9" w:rsidRPr="00257E6E" w:rsidRDefault="00BB3AC9" w:rsidP="00257E6E">
      <w:pPr>
        <w:widowControl w:val="0"/>
        <w:tabs>
          <w:tab w:val="right" w:leader="dot" w:pos="7920"/>
        </w:tabs>
        <w:spacing w:before="120" w:after="120" w:line="380" w:lineRule="exact"/>
        <w:ind w:firstLine="709"/>
        <w:jc w:val="both"/>
        <w:rPr>
          <w:b/>
        </w:rPr>
      </w:pPr>
      <w:r w:rsidRPr="00257E6E">
        <w:rPr>
          <w:b/>
        </w:rPr>
        <w:t>1. Bố cục</w:t>
      </w:r>
    </w:p>
    <w:p w:rsidR="001D138D" w:rsidRPr="00257E6E" w:rsidRDefault="001D138D" w:rsidP="00257E6E">
      <w:pPr>
        <w:widowControl w:val="0"/>
        <w:tabs>
          <w:tab w:val="right" w:leader="dot" w:pos="7920"/>
        </w:tabs>
        <w:spacing w:before="120" w:after="120" w:line="380" w:lineRule="exact"/>
        <w:ind w:firstLine="709"/>
        <w:jc w:val="both"/>
        <w:rPr>
          <w:b/>
        </w:rPr>
      </w:pPr>
      <w:r w:rsidRPr="00257E6E">
        <w:rPr>
          <w:b/>
        </w:rPr>
        <w:t>1.1.</w:t>
      </w:r>
      <w:r w:rsidR="00257E6E">
        <w:rPr>
          <w:b/>
        </w:rPr>
        <w:t xml:space="preserve"> Nội dung Quyết định gồm 3 điều</w:t>
      </w:r>
    </w:p>
    <w:p w:rsidR="001D138D" w:rsidRPr="00257E6E" w:rsidRDefault="001D138D" w:rsidP="00257E6E">
      <w:pPr>
        <w:spacing w:before="120" w:after="120" w:line="380" w:lineRule="exact"/>
        <w:ind w:firstLine="709"/>
        <w:jc w:val="both"/>
      </w:pPr>
      <w:r w:rsidRPr="00257E6E">
        <w:t xml:space="preserve">- Điều 1: </w:t>
      </w:r>
      <w:bookmarkStart w:id="0" w:name="dieu_1_name"/>
      <w:r w:rsidRPr="00257E6E">
        <w:rPr>
          <w:lang w:val="vi-VN"/>
        </w:rPr>
        <w:t xml:space="preserve">Ban hành kèm theo Quyết định này </w:t>
      </w:r>
      <w:r w:rsidRPr="00257E6E">
        <w:t>Quy định tiêu chuẩn, quản lý và sử dụng người hoạt động không chuyên trách ở xã, phường, thị trấn trên địa bàn tỉnh Đồng Nai</w:t>
      </w:r>
      <w:r w:rsidRPr="00257E6E">
        <w:rPr>
          <w:lang w:val="vi-VN"/>
        </w:rPr>
        <w:t>.</w:t>
      </w:r>
      <w:bookmarkEnd w:id="0"/>
    </w:p>
    <w:p w:rsidR="001D138D" w:rsidRPr="00257E6E" w:rsidRDefault="001D138D" w:rsidP="00257E6E">
      <w:pPr>
        <w:widowControl w:val="0"/>
        <w:tabs>
          <w:tab w:val="left" w:pos="2325"/>
        </w:tabs>
        <w:spacing w:before="120" w:after="120" w:line="380" w:lineRule="exact"/>
        <w:ind w:firstLine="709"/>
        <w:jc w:val="both"/>
      </w:pPr>
      <w:r w:rsidRPr="00257E6E">
        <w:t>- Điều 2: Hiệu lực thi hành</w:t>
      </w:r>
    </w:p>
    <w:p w:rsidR="001D138D" w:rsidRPr="00257E6E" w:rsidRDefault="001D138D" w:rsidP="00257E6E">
      <w:pPr>
        <w:widowControl w:val="0"/>
        <w:tabs>
          <w:tab w:val="left" w:pos="2325"/>
        </w:tabs>
        <w:spacing w:before="120" w:after="120" w:line="380" w:lineRule="exact"/>
        <w:ind w:firstLine="709"/>
        <w:jc w:val="both"/>
      </w:pPr>
      <w:r w:rsidRPr="00257E6E">
        <w:t>- Điều 3: Tổ chức thực hiện</w:t>
      </w:r>
    </w:p>
    <w:p w:rsidR="001D138D" w:rsidRPr="00257E6E" w:rsidRDefault="001D138D" w:rsidP="00257E6E">
      <w:pPr>
        <w:widowControl w:val="0"/>
        <w:tabs>
          <w:tab w:val="left" w:pos="2325"/>
        </w:tabs>
        <w:spacing w:before="120" w:after="120" w:line="380" w:lineRule="exact"/>
        <w:ind w:firstLine="709"/>
        <w:jc w:val="both"/>
        <w:rPr>
          <w:b/>
        </w:rPr>
      </w:pPr>
      <w:r w:rsidRPr="00257E6E">
        <w:rPr>
          <w:b/>
        </w:rPr>
        <w:t>1.2. Nội dung quy định (kèm theo Quyết định)</w:t>
      </w:r>
      <w:r w:rsidR="00A83935" w:rsidRPr="00257E6E">
        <w:rPr>
          <w:b/>
        </w:rPr>
        <w:t xml:space="preserve"> gồm 5</w:t>
      </w:r>
      <w:r w:rsidR="00230E06" w:rsidRPr="00257E6E">
        <w:rPr>
          <w:b/>
        </w:rPr>
        <w:t xml:space="preserve"> Chương</w:t>
      </w:r>
      <w:r w:rsidR="00A83935" w:rsidRPr="00257E6E">
        <w:rPr>
          <w:b/>
        </w:rPr>
        <w:t xml:space="preserve">, </w:t>
      </w:r>
      <w:r w:rsidR="001638BB" w:rsidRPr="00257E6E">
        <w:rPr>
          <w:b/>
        </w:rPr>
        <w:t>22 điều</w:t>
      </w:r>
    </w:p>
    <w:p w:rsidR="00230E06" w:rsidRPr="00257E6E" w:rsidRDefault="00230E06" w:rsidP="00257E6E">
      <w:pPr>
        <w:widowControl w:val="0"/>
        <w:tabs>
          <w:tab w:val="left" w:pos="2325"/>
        </w:tabs>
        <w:spacing w:before="120" w:after="120" w:line="380" w:lineRule="exact"/>
        <w:ind w:firstLine="709"/>
        <w:jc w:val="both"/>
        <w:rPr>
          <w:i/>
        </w:rPr>
      </w:pPr>
      <w:r w:rsidRPr="00257E6E">
        <w:t>- Chư</w:t>
      </w:r>
      <w:r w:rsidR="00A83935" w:rsidRPr="00257E6E">
        <w:t xml:space="preserve">ơng I: Những quy định chung </w:t>
      </w:r>
      <w:r w:rsidR="00A83935" w:rsidRPr="00257E6E">
        <w:rPr>
          <w:i/>
        </w:rPr>
        <w:t>(Đ</w:t>
      </w:r>
      <w:r w:rsidRPr="00257E6E">
        <w:rPr>
          <w:i/>
        </w:rPr>
        <w:t xml:space="preserve">iều </w:t>
      </w:r>
      <w:r w:rsidR="001638BB" w:rsidRPr="00257E6E">
        <w:rPr>
          <w:i/>
        </w:rPr>
        <w:t>1,</w:t>
      </w:r>
      <w:r w:rsidR="00A83935" w:rsidRPr="00257E6E">
        <w:rPr>
          <w:i/>
        </w:rPr>
        <w:t>2: Quy định về phạm vi điều chỉnh, đối tượng áp dụng).</w:t>
      </w:r>
    </w:p>
    <w:p w:rsidR="00A83935" w:rsidRPr="00257E6E" w:rsidRDefault="00A83935" w:rsidP="00257E6E">
      <w:pPr>
        <w:widowControl w:val="0"/>
        <w:tabs>
          <w:tab w:val="left" w:pos="2325"/>
        </w:tabs>
        <w:spacing w:before="120" w:after="120" w:line="380" w:lineRule="exact"/>
        <w:ind w:firstLine="709"/>
        <w:jc w:val="both"/>
        <w:rPr>
          <w:i/>
        </w:rPr>
      </w:pPr>
      <w:r w:rsidRPr="00257E6E">
        <w:t xml:space="preserve">- Chương II: Tiêu chuẩn, nhiệm vụ của người hoạt động không chuyên trách cấp xã </w:t>
      </w:r>
      <w:r w:rsidRPr="00257E6E">
        <w:rPr>
          <w:i/>
        </w:rPr>
        <w:t>(Điều 3,4: Quy định về tiêu chuẩn, nhiệm vụ).</w:t>
      </w:r>
    </w:p>
    <w:p w:rsidR="00A83935" w:rsidRPr="00257E6E" w:rsidRDefault="00A83935" w:rsidP="00257E6E">
      <w:pPr>
        <w:widowControl w:val="0"/>
        <w:tabs>
          <w:tab w:val="left" w:pos="2325"/>
        </w:tabs>
        <w:spacing w:before="120" w:after="120" w:line="380" w:lineRule="exact"/>
        <w:ind w:firstLine="709"/>
        <w:jc w:val="both"/>
        <w:rPr>
          <w:i/>
        </w:rPr>
      </w:pPr>
      <w:r w:rsidRPr="00257E6E">
        <w:t>- Chương III: Tuyển dụng người hoạt động không chuyên trách cấp xã thuộc lĩnh vực chuyên môn</w:t>
      </w:r>
      <w:r w:rsidRPr="00257E6E">
        <w:rPr>
          <w:i/>
        </w:rPr>
        <w:t xml:space="preserve"> (Từ điều 5 đến điều 10: Quy định về nguyên tắc, căn cứ tuyển dụng; điều kiện đăng ký dự tuyển; hình thức, thẩm quyền</w:t>
      </w:r>
      <w:r w:rsidR="00AC635D">
        <w:rPr>
          <w:i/>
        </w:rPr>
        <w:t>, Hội đồng tuyển dụng</w:t>
      </w:r>
      <w:r w:rsidRPr="00257E6E">
        <w:rPr>
          <w:i/>
        </w:rPr>
        <w:t>; trình tự, thủ t</w:t>
      </w:r>
      <w:r w:rsidR="001638BB" w:rsidRPr="00257E6E">
        <w:rPr>
          <w:i/>
        </w:rPr>
        <w:t>ục tuyển dụng; tiếp nhận</w:t>
      </w:r>
      <w:r w:rsidRPr="00257E6E">
        <w:rPr>
          <w:i/>
        </w:rPr>
        <w:t xml:space="preserve"> không qua xét tuyển).</w:t>
      </w:r>
    </w:p>
    <w:p w:rsidR="00A83935" w:rsidRPr="00257E6E" w:rsidRDefault="00A83935" w:rsidP="00257E6E">
      <w:pPr>
        <w:widowControl w:val="0"/>
        <w:spacing w:before="120" w:after="120" w:line="380" w:lineRule="exact"/>
        <w:ind w:firstLine="709"/>
        <w:jc w:val="both"/>
        <w:rPr>
          <w:i/>
        </w:rPr>
      </w:pPr>
      <w:r w:rsidRPr="00257E6E">
        <w:t xml:space="preserve">- Chương IV: Quản lý và sử dụng người hoạt động không chuyên trách </w:t>
      </w:r>
      <w:r w:rsidRPr="00257E6E">
        <w:lastRenderedPageBreak/>
        <w:t xml:space="preserve">cấp xã </w:t>
      </w:r>
      <w:r w:rsidRPr="00257E6E">
        <w:rPr>
          <w:i/>
        </w:rPr>
        <w:t xml:space="preserve">(Từ điều 11 đến điều </w:t>
      </w:r>
      <w:r w:rsidR="001638BB" w:rsidRPr="00257E6E">
        <w:rPr>
          <w:i/>
        </w:rPr>
        <w:t>19: Quy định về chế độ làm việc;</w:t>
      </w:r>
      <w:r w:rsidRPr="00257E6E">
        <w:rPr>
          <w:i/>
        </w:rPr>
        <w:t xml:space="preserve"> quyền lợi, nghĩa vụ</w:t>
      </w:r>
      <w:r w:rsidR="001638BB" w:rsidRPr="00257E6E">
        <w:rPr>
          <w:i/>
        </w:rPr>
        <w:t>; điều động; đào tạo, bồi dưỡng; đánh giá; khen thưởng; xử lý kỷ luật; kiêm nhiệm; chế độ, chính sách).</w:t>
      </w:r>
    </w:p>
    <w:p w:rsidR="001638BB" w:rsidRPr="00257E6E" w:rsidRDefault="001638BB" w:rsidP="00257E6E">
      <w:pPr>
        <w:widowControl w:val="0"/>
        <w:tabs>
          <w:tab w:val="left" w:pos="2325"/>
        </w:tabs>
        <w:spacing w:before="120" w:after="120" w:line="380" w:lineRule="exact"/>
        <w:ind w:firstLine="709"/>
        <w:jc w:val="both"/>
        <w:rPr>
          <w:i/>
        </w:rPr>
      </w:pPr>
      <w:r w:rsidRPr="00257E6E">
        <w:t>- Chương V: Tổ chức thực hiện</w:t>
      </w:r>
      <w:r w:rsidRPr="00257E6E">
        <w:rPr>
          <w:i/>
        </w:rPr>
        <w:t xml:space="preserve"> (Từ điều 20 đến điều 22: Quy định trách nhiệm của Sở Nội vụ; Ủy ban nhân dân cấp huyện, cấp xã).</w:t>
      </w:r>
    </w:p>
    <w:p w:rsidR="00BB3AC9" w:rsidRPr="00257E6E" w:rsidRDefault="00BB3AC9" w:rsidP="00257E6E">
      <w:pPr>
        <w:widowControl w:val="0"/>
        <w:tabs>
          <w:tab w:val="right" w:leader="dot" w:pos="7920"/>
        </w:tabs>
        <w:spacing w:before="120" w:after="120" w:line="380" w:lineRule="exact"/>
        <w:ind w:firstLine="709"/>
        <w:jc w:val="both"/>
        <w:rPr>
          <w:b/>
        </w:rPr>
      </w:pPr>
      <w:r w:rsidRPr="00257E6E">
        <w:rPr>
          <w:b/>
        </w:rPr>
        <w:t>2. Nội</w:t>
      </w:r>
      <w:r w:rsidR="001638BB" w:rsidRPr="00257E6E">
        <w:rPr>
          <w:b/>
        </w:rPr>
        <w:t xml:space="preserve"> d</w:t>
      </w:r>
      <w:r w:rsidR="00F010E6">
        <w:rPr>
          <w:b/>
        </w:rPr>
        <w:t>ung cơ bản của dự thảo Q</w:t>
      </w:r>
      <w:r w:rsidR="001638BB" w:rsidRPr="00257E6E">
        <w:rPr>
          <w:b/>
        </w:rPr>
        <w:t>uyết định</w:t>
      </w:r>
    </w:p>
    <w:p w:rsidR="001638BB" w:rsidRPr="00257E6E" w:rsidRDefault="00F010E6" w:rsidP="00257E6E">
      <w:pPr>
        <w:widowControl w:val="0"/>
        <w:tabs>
          <w:tab w:val="right" w:leader="dot" w:pos="7920"/>
        </w:tabs>
        <w:spacing w:before="120" w:after="120" w:line="380" w:lineRule="exact"/>
        <w:ind w:firstLine="709"/>
        <w:jc w:val="both"/>
      </w:pPr>
      <w:r>
        <w:t>Dự thảo Q</w:t>
      </w:r>
      <w:r w:rsidR="001638BB" w:rsidRPr="00257E6E">
        <w:t xml:space="preserve">uyết định ban hành kèm theo quy định về tiêu chuẩn, quản lý và sử dụng người hoạt động không chuyên trách cấp xã, trong đó, tập trung vào các nội dung là cơ sở pháp lý để các địa phương quản lý có hệ thống đối với người hoạt động không chuyên trách cấp xã như: </w:t>
      </w:r>
      <w:r w:rsidR="00CC56C9" w:rsidRPr="00257E6E">
        <w:t>điều kiện tiêu chuẩn; công tác tuyển dụng; chế độ làm việc; quyền lợi, nghĩa vụ; điều động; đào tạo, bồi dưỡng; đánh giá; khen thưởng; xử lý kỷ luật; kiêm nhiệm; chế độ, chính sách.</w:t>
      </w:r>
    </w:p>
    <w:p w:rsidR="00BB3AC9" w:rsidRPr="00257E6E" w:rsidRDefault="00BB3AC9" w:rsidP="00257E6E">
      <w:pPr>
        <w:widowControl w:val="0"/>
        <w:tabs>
          <w:tab w:val="right" w:leader="dot" w:pos="7920"/>
        </w:tabs>
        <w:spacing w:before="120" w:after="120" w:line="380" w:lineRule="exact"/>
        <w:ind w:firstLine="709"/>
        <w:jc w:val="both"/>
      </w:pPr>
      <w:r w:rsidRPr="00257E6E">
        <w:t xml:space="preserve">Trên đây là Tờ trình về dự </w:t>
      </w:r>
      <w:r w:rsidR="00CC56C9" w:rsidRPr="00257E6E">
        <w:rPr>
          <w:rFonts w:eastAsia="Calibri"/>
          <w:color w:val="000000"/>
          <w:highlight w:val="white"/>
          <w:lang w:val="vi-VN"/>
        </w:rPr>
        <w:t>thảo Quyết định</w:t>
      </w:r>
      <w:r w:rsidR="00CC56C9" w:rsidRPr="00257E6E">
        <w:rPr>
          <w:rFonts w:eastAsia="Calibri"/>
          <w:color w:val="000000"/>
        </w:rPr>
        <w:t xml:space="preserve"> </w:t>
      </w:r>
      <w:r w:rsidR="00CC56C9" w:rsidRPr="00257E6E">
        <w:t>quy định tiêu chuẩn, quản lý và sử dụng người hoạt động không chuyên trách ở xã, phường, thị trấn trên địa bàn tỉnh</w:t>
      </w:r>
      <w:r w:rsidRPr="00257E6E">
        <w:t>,</w:t>
      </w:r>
      <w:r w:rsidR="00CC56C9" w:rsidRPr="00257E6E">
        <w:t xml:space="preserve"> Sở Nội vụ</w:t>
      </w:r>
      <w:r w:rsidRPr="00257E6E">
        <w:t xml:space="preserve"> xin kính trình</w:t>
      </w:r>
      <w:r w:rsidR="00CC56C9" w:rsidRPr="00257E6E">
        <w:t xml:space="preserve"> Ủy ban nhân dân tỉnh </w:t>
      </w:r>
      <w:r w:rsidRPr="00257E6E">
        <w:t>xem xét, quyết định./.</w:t>
      </w:r>
    </w:p>
    <w:p w:rsidR="00CC56C9" w:rsidRDefault="00BB3AC9" w:rsidP="00257E6E">
      <w:pPr>
        <w:shd w:val="clear" w:color="auto" w:fill="FFFFFF"/>
        <w:spacing w:before="120" w:after="120" w:line="380" w:lineRule="exact"/>
        <w:ind w:firstLine="709"/>
        <w:jc w:val="both"/>
        <w:rPr>
          <w:i/>
          <w:lang w:val="nl-NL"/>
        </w:rPr>
      </w:pPr>
      <w:r w:rsidRPr="00257E6E">
        <w:rPr>
          <w:i/>
        </w:rPr>
        <w:t>(Xin gửi kèm theo</w:t>
      </w:r>
      <w:r w:rsidRPr="00257E6E">
        <w:t>:</w:t>
      </w:r>
      <w:r w:rsidR="00CC56C9" w:rsidRPr="00257E6E">
        <w:rPr>
          <w:i/>
          <w:lang w:val="nl-NL"/>
        </w:rPr>
        <w:t xml:space="preserve"> Dự thảo Quyết định, Quy định; Báo cáo tổng hợp ý kiến góp ý, giải trình tiếp thu ý kiến; Bản sao văn bản góp ý của các cơ quan, đơn vị; Báo cáo thẩm định của Sở Tư pháp)</w:t>
      </w:r>
      <w:r w:rsidR="00257E6E">
        <w:rPr>
          <w:i/>
          <w:lang w:val="nl-NL"/>
        </w:rPr>
        <w:t>.</w:t>
      </w:r>
    </w:p>
    <w:p w:rsidR="00257E6E" w:rsidRPr="00257E6E" w:rsidRDefault="00257E6E" w:rsidP="00257E6E">
      <w:pPr>
        <w:shd w:val="clear" w:color="auto" w:fill="FFFFFF"/>
        <w:spacing w:before="120" w:after="120"/>
        <w:ind w:firstLine="567"/>
        <w:jc w:val="both"/>
        <w:rPr>
          <w:i/>
          <w:sz w:val="4"/>
          <w:szCs w:val="4"/>
          <w:lang w:val="nl-NL"/>
        </w:rPr>
      </w:pPr>
    </w:p>
    <w:tbl>
      <w:tblPr>
        <w:tblW w:w="9214" w:type="dxa"/>
        <w:tblInd w:w="108" w:type="dxa"/>
        <w:tblLook w:val="0000"/>
      </w:tblPr>
      <w:tblGrid>
        <w:gridCol w:w="4536"/>
        <w:gridCol w:w="4678"/>
      </w:tblGrid>
      <w:tr w:rsidR="00CC56C9" w:rsidRPr="004F397A" w:rsidTr="00B800D5">
        <w:trPr>
          <w:trHeight w:val="1624"/>
        </w:trPr>
        <w:tc>
          <w:tcPr>
            <w:tcW w:w="4536" w:type="dxa"/>
          </w:tcPr>
          <w:p w:rsidR="00CC56C9" w:rsidRPr="004F397A" w:rsidRDefault="00CC56C9" w:rsidP="00257E6E">
            <w:pPr>
              <w:ind w:firstLine="34"/>
              <w:rPr>
                <w:b/>
                <w:i/>
                <w:iCs/>
                <w:sz w:val="24"/>
                <w:szCs w:val="24"/>
                <w:lang w:val="nl-NL"/>
              </w:rPr>
            </w:pPr>
            <w:r w:rsidRPr="004F397A">
              <w:rPr>
                <w:b/>
                <w:i/>
                <w:iCs/>
                <w:sz w:val="24"/>
                <w:szCs w:val="24"/>
                <w:lang w:val="nl-NL"/>
              </w:rPr>
              <w:t>Nơi nhận:</w:t>
            </w:r>
          </w:p>
          <w:p w:rsidR="00CC56C9" w:rsidRPr="00257E6E" w:rsidRDefault="00CC56C9" w:rsidP="00257E6E">
            <w:pPr>
              <w:ind w:firstLine="34"/>
              <w:jc w:val="both"/>
              <w:rPr>
                <w:sz w:val="22"/>
                <w:szCs w:val="22"/>
                <w:lang w:val="nl-NL"/>
              </w:rPr>
            </w:pPr>
            <w:r w:rsidRPr="00257E6E">
              <w:rPr>
                <w:sz w:val="22"/>
                <w:szCs w:val="22"/>
                <w:lang w:val="nl-NL"/>
              </w:rPr>
              <w:t>- Như trên;</w:t>
            </w:r>
          </w:p>
          <w:p w:rsidR="00CC56C9" w:rsidRPr="00257E6E" w:rsidRDefault="00CC56C9" w:rsidP="00257E6E">
            <w:pPr>
              <w:ind w:firstLine="34"/>
              <w:jc w:val="both"/>
              <w:rPr>
                <w:sz w:val="22"/>
                <w:szCs w:val="22"/>
                <w:lang w:val="nl-NL"/>
              </w:rPr>
            </w:pPr>
            <w:r w:rsidRPr="00257E6E">
              <w:rPr>
                <w:sz w:val="22"/>
                <w:szCs w:val="22"/>
                <w:lang w:val="nl-NL"/>
              </w:rPr>
              <w:t>- Sở Tư pháp;</w:t>
            </w:r>
          </w:p>
          <w:p w:rsidR="00CC56C9" w:rsidRPr="00257E6E" w:rsidRDefault="00CC56C9" w:rsidP="00257E6E">
            <w:pPr>
              <w:ind w:firstLine="34"/>
              <w:jc w:val="both"/>
              <w:rPr>
                <w:sz w:val="22"/>
                <w:szCs w:val="22"/>
                <w:lang w:val="nl-NL"/>
              </w:rPr>
            </w:pPr>
            <w:r w:rsidRPr="00257E6E">
              <w:rPr>
                <w:sz w:val="22"/>
                <w:szCs w:val="22"/>
                <w:lang w:val="nl-NL"/>
              </w:rPr>
              <w:t>- GĐ và các PGĐ Sở Nội vụ;</w:t>
            </w:r>
          </w:p>
          <w:p w:rsidR="00CC56C9" w:rsidRPr="00257E6E" w:rsidRDefault="00CC56C9" w:rsidP="00257E6E">
            <w:pPr>
              <w:ind w:firstLine="34"/>
              <w:jc w:val="both"/>
              <w:rPr>
                <w:sz w:val="22"/>
                <w:szCs w:val="22"/>
              </w:rPr>
            </w:pPr>
            <w:r w:rsidRPr="00257E6E">
              <w:rPr>
                <w:sz w:val="22"/>
                <w:szCs w:val="22"/>
              </w:rPr>
              <w:t>- Lưu: VT, TCCQ.</w:t>
            </w:r>
            <w:r w:rsidR="00257E6E">
              <w:rPr>
                <w:sz w:val="22"/>
                <w:szCs w:val="22"/>
              </w:rPr>
              <w:t>Sơn</w:t>
            </w:r>
          </w:p>
          <w:p w:rsidR="00CC56C9" w:rsidRPr="004F397A" w:rsidRDefault="00CC56C9" w:rsidP="00B800D5">
            <w:pPr>
              <w:ind w:firstLine="567"/>
              <w:rPr>
                <w:sz w:val="16"/>
                <w:szCs w:val="16"/>
                <w:lang w:val="nl-NL"/>
              </w:rPr>
            </w:pPr>
          </w:p>
        </w:tc>
        <w:tc>
          <w:tcPr>
            <w:tcW w:w="4678" w:type="dxa"/>
          </w:tcPr>
          <w:p w:rsidR="00257E6E" w:rsidRDefault="00CC56C9" w:rsidP="00257E6E">
            <w:pPr>
              <w:ind w:firstLine="34"/>
              <w:jc w:val="center"/>
              <w:rPr>
                <w:b/>
                <w:bCs/>
                <w:lang w:val="nl-NL"/>
              </w:rPr>
            </w:pPr>
            <w:r w:rsidRPr="004F397A">
              <w:rPr>
                <w:b/>
                <w:bCs/>
                <w:lang w:val="nl-NL"/>
              </w:rPr>
              <w:t>KT. GIÁM ĐỐC</w:t>
            </w:r>
          </w:p>
          <w:p w:rsidR="00CC56C9" w:rsidRPr="004F397A" w:rsidRDefault="00CC56C9" w:rsidP="00257E6E">
            <w:pPr>
              <w:ind w:firstLine="34"/>
              <w:jc w:val="center"/>
              <w:rPr>
                <w:b/>
                <w:bCs/>
                <w:lang w:val="nl-NL"/>
              </w:rPr>
            </w:pPr>
            <w:r w:rsidRPr="004F397A">
              <w:rPr>
                <w:b/>
                <w:bCs/>
                <w:lang w:val="nl-NL"/>
              </w:rPr>
              <w:t>PHÓ GIÁM ĐỐC</w:t>
            </w:r>
          </w:p>
          <w:p w:rsidR="00CC56C9" w:rsidRPr="004F397A" w:rsidRDefault="00CC56C9" w:rsidP="00257E6E">
            <w:pPr>
              <w:ind w:firstLine="34"/>
              <w:jc w:val="center"/>
              <w:rPr>
                <w:b/>
                <w:bCs/>
                <w:lang w:val="nl-NL"/>
              </w:rPr>
            </w:pPr>
          </w:p>
          <w:p w:rsidR="00CC56C9" w:rsidRPr="004F397A" w:rsidRDefault="00CC56C9" w:rsidP="00257E6E">
            <w:pPr>
              <w:ind w:firstLine="34"/>
              <w:jc w:val="center"/>
              <w:rPr>
                <w:b/>
                <w:bCs/>
                <w:sz w:val="58"/>
                <w:lang w:val="nl-NL"/>
              </w:rPr>
            </w:pPr>
          </w:p>
          <w:p w:rsidR="00CC56C9" w:rsidRPr="004F397A" w:rsidRDefault="00CC56C9" w:rsidP="00257E6E">
            <w:pPr>
              <w:ind w:firstLine="34"/>
              <w:jc w:val="center"/>
              <w:rPr>
                <w:b/>
                <w:bCs/>
                <w:sz w:val="58"/>
                <w:lang w:val="nl-NL"/>
              </w:rPr>
            </w:pPr>
          </w:p>
          <w:p w:rsidR="00CC56C9" w:rsidRPr="004F397A" w:rsidRDefault="00CC56C9" w:rsidP="00257E6E">
            <w:pPr>
              <w:ind w:firstLine="34"/>
              <w:jc w:val="center"/>
              <w:rPr>
                <w:b/>
                <w:bCs/>
                <w:lang w:val="nl-NL"/>
              </w:rPr>
            </w:pPr>
            <w:r w:rsidRPr="004F397A">
              <w:rPr>
                <w:b/>
                <w:bCs/>
                <w:lang w:val="nl-NL"/>
              </w:rPr>
              <w:t>Trần Thị Ái Liên</w:t>
            </w:r>
          </w:p>
        </w:tc>
      </w:tr>
    </w:tbl>
    <w:p w:rsidR="00D57822" w:rsidRDefault="00376538" w:rsidP="00CC56C9">
      <w:pPr>
        <w:widowControl w:val="0"/>
        <w:tabs>
          <w:tab w:val="right" w:leader="dot" w:pos="7920"/>
        </w:tabs>
        <w:spacing w:before="80" w:line="400" w:lineRule="exact"/>
        <w:ind w:firstLine="454"/>
        <w:jc w:val="both"/>
      </w:pPr>
    </w:p>
    <w:sectPr w:rsidR="00D57822" w:rsidSect="005E5D2F">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538" w:rsidRDefault="00376538" w:rsidP="000330BA">
      <w:r>
        <w:separator/>
      </w:r>
    </w:p>
  </w:endnote>
  <w:endnote w:type="continuationSeparator" w:id="1">
    <w:p w:rsidR="00376538" w:rsidRDefault="00376538" w:rsidP="00033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538" w:rsidRDefault="00376538" w:rsidP="000330BA">
      <w:r>
        <w:separator/>
      </w:r>
    </w:p>
  </w:footnote>
  <w:footnote w:type="continuationSeparator" w:id="1">
    <w:p w:rsidR="00376538" w:rsidRDefault="00376538" w:rsidP="000330BA">
      <w:r>
        <w:continuationSeparator/>
      </w:r>
    </w:p>
  </w:footnote>
  <w:footnote w:id="2">
    <w:p w:rsidR="000330BA" w:rsidRPr="00CC5E88" w:rsidRDefault="000330BA" w:rsidP="000330BA">
      <w:pPr>
        <w:pStyle w:val="FootnoteText"/>
        <w:jc w:val="both"/>
        <w:rPr>
          <w:spacing w:val="-6"/>
          <w:sz w:val="22"/>
          <w:szCs w:val="22"/>
        </w:rPr>
      </w:pPr>
      <w:r w:rsidRPr="00CC5E88">
        <w:rPr>
          <w:rStyle w:val="FootnoteReference"/>
          <w:spacing w:val="-6"/>
          <w:sz w:val="22"/>
          <w:szCs w:val="22"/>
        </w:rPr>
        <w:footnoteRef/>
      </w:r>
      <w:r w:rsidRPr="00CC5E88">
        <w:rPr>
          <w:spacing w:val="-6"/>
          <w:sz w:val="22"/>
          <w:szCs w:val="22"/>
        </w:rPr>
        <w:t xml:space="preserve"> Đ</w:t>
      </w:r>
      <w:r w:rsidRPr="00CC5E88">
        <w:rPr>
          <w:spacing w:val="-6"/>
          <w:sz w:val="22"/>
          <w:szCs w:val="22"/>
          <w:lang w:val="vi-VN"/>
        </w:rPr>
        <w:t xml:space="preserve">ơn vị hành chính cấp xã loại 1 được bố trí 14 </w:t>
      </w:r>
      <w:r w:rsidRPr="00CC5E88">
        <w:rPr>
          <w:spacing w:val="-6"/>
          <w:sz w:val="22"/>
          <w:szCs w:val="22"/>
        </w:rPr>
        <w:t>người</w:t>
      </w:r>
      <w:r w:rsidRPr="00CC5E88">
        <w:rPr>
          <w:spacing w:val="-6"/>
          <w:sz w:val="22"/>
          <w:szCs w:val="22"/>
          <w:lang w:val="vi-VN"/>
        </w:rPr>
        <w:t xml:space="preserve">, loại 2 được bố trí 12 </w:t>
      </w:r>
      <w:r w:rsidRPr="00CC5E88">
        <w:rPr>
          <w:spacing w:val="-6"/>
          <w:sz w:val="22"/>
          <w:szCs w:val="22"/>
        </w:rPr>
        <w:t>người</w:t>
      </w:r>
      <w:r w:rsidRPr="00CC5E88">
        <w:rPr>
          <w:spacing w:val="-6"/>
          <w:sz w:val="22"/>
          <w:szCs w:val="22"/>
          <w:lang w:val="vi-VN"/>
        </w:rPr>
        <w:t xml:space="preserve"> và loại 3 bố trí 10 </w:t>
      </w:r>
      <w:r w:rsidRPr="00CC5E88">
        <w:rPr>
          <w:spacing w:val="-6"/>
          <w:sz w:val="22"/>
          <w:szCs w:val="22"/>
        </w:rPr>
        <w:t>người.</w:t>
      </w:r>
    </w:p>
  </w:footnote>
  <w:footnote w:id="3">
    <w:p w:rsidR="000330BA" w:rsidRPr="00CC5E88" w:rsidRDefault="000330BA" w:rsidP="000330BA">
      <w:pPr>
        <w:pStyle w:val="FootnoteText"/>
        <w:jc w:val="both"/>
        <w:rPr>
          <w:sz w:val="22"/>
          <w:szCs w:val="22"/>
        </w:rPr>
      </w:pPr>
      <w:r w:rsidRPr="00CC5E88">
        <w:rPr>
          <w:rStyle w:val="FootnoteReference"/>
          <w:sz w:val="22"/>
          <w:szCs w:val="22"/>
        </w:rPr>
        <w:footnoteRef/>
      </w:r>
      <w:r w:rsidRPr="00CC5E88">
        <w:rPr>
          <w:sz w:val="22"/>
          <w:szCs w:val="22"/>
        </w:rPr>
        <w:t xml:space="preserve"> </w:t>
      </w:r>
      <w:r w:rsidRPr="00CC5E88">
        <w:rPr>
          <w:spacing w:val="-4"/>
          <w:sz w:val="22"/>
          <w:szCs w:val="22"/>
        </w:rPr>
        <w:t>Nghị quyết số 01/2020/NQ-HĐND ngày 10/7/2020 của HĐND tỉnh quy định số lượng, chức danh, chế độ chính sách đối với người hoạt động không chuyên trách cấp xã, ấp (khu phố) trên địa bàn tỉnh.</w:t>
      </w:r>
    </w:p>
  </w:footnote>
  <w:footnote w:id="4">
    <w:p w:rsidR="000330BA" w:rsidRDefault="000330BA" w:rsidP="000330BA">
      <w:pPr>
        <w:pStyle w:val="FootnoteText"/>
      </w:pPr>
      <w:r>
        <w:rPr>
          <w:rStyle w:val="FootnoteReference"/>
        </w:rPr>
        <w:footnoteRef/>
      </w:r>
      <w:r>
        <w:t xml:space="preserve"> UBND các huyện Xuân Lộc, Cẩm Mỹ,Vĩnh Cửu, Tân Phú, Nhơn Trạch có ý kiến bằng văn bản, các địa phương còn lại phản ánh trực tiếp với cơ quan tham mưu (Sở Nội vụ)</w:t>
      </w:r>
    </w:p>
    <w:p w:rsidR="000330BA" w:rsidRDefault="000330BA" w:rsidP="000330B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427266"/>
      <w:docPartObj>
        <w:docPartGallery w:val="Page Numbers (Top of Page)"/>
        <w:docPartUnique/>
      </w:docPartObj>
    </w:sdtPr>
    <w:sdtContent>
      <w:p w:rsidR="005E5D2F" w:rsidRDefault="009C08A5">
        <w:pPr>
          <w:pStyle w:val="Header"/>
          <w:jc w:val="center"/>
        </w:pPr>
        <w:fldSimple w:instr=" PAGE   \* MERGEFORMAT ">
          <w:r w:rsidR="00AC635D">
            <w:rPr>
              <w:noProof/>
            </w:rPr>
            <w:t>4</w:t>
          </w:r>
        </w:fldSimple>
      </w:p>
    </w:sdtContent>
  </w:sdt>
  <w:p w:rsidR="005E5D2F" w:rsidRDefault="005E5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B3AC9"/>
    <w:rsid w:val="000330BA"/>
    <w:rsid w:val="00125B6D"/>
    <w:rsid w:val="001638BB"/>
    <w:rsid w:val="001D138D"/>
    <w:rsid w:val="00230E06"/>
    <w:rsid w:val="00257E6E"/>
    <w:rsid w:val="00325182"/>
    <w:rsid w:val="00326A87"/>
    <w:rsid w:val="00376538"/>
    <w:rsid w:val="003B193D"/>
    <w:rsid w:val="005E5D2F"/>
    <w:rsid w:val="00793850"/>
    <w:rsid w:val="007D14AD"/>
    <w:rsid w:val="00982A09"/>
    <w:rsid w:val="009C08A5"/>
    <w:rsid w:val="00A83935"/>
    <w:rsid w:val="00AC2BB2"/>
    <w:rsid w:val="00AC635D"/>
    <w:rsid w:val="00B53335"/>
    <w:rsid w:val="00BB3AC9"/>
    <w:rsid w:val="00CA4E59"/>
    <w:rsid w:val="00CC56C9"/>
    <w:rsid w:val="00E66FE2"/>
    <w:rsid w:val="00E93D21"/>
    <w:rsid w:val="00F010E6"/>
    <w:rsid w:val="00F50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BB3AC9"/>
    <w:pPr>
      <w:spacing w:after="160" w:line="240" w:lineRule="exact"/>
    </w:pPr>
    <w:rPr>
      <w:rFonts w:ascii="Arial" w:hAnsi="Arial" w:cs="Arial"/>
      <w:sz w:val="22"/>
      <w:szCs w:val="22"/>
    </w:rPr>
  </w:style>
  <w:style w:type="paragraph" w:styleId="FootnoteText">
    <w:name w:val="footnote text"/>
    <w:basedOn w:val="Normal"/>
    <w:link w:val="FootnoteTextChar"/>
    <w:uiPriority w:val="99"/>
    <w:unhideWhenUsed/>
    <w:rsid w:val="000330BA"/>
    <w:rPr>
      <w:sz w:val="20"/>
      <w:szCs w:val="20"/>
    </w:rPr>
  </w:style>
  <w:style w:type="character" w:customStyle="1" w:styleId="FootnoteTextChar">
    <w:name w:val="Footnote Text Char"/>
    <w:basedOn w:val="DefaultParagraphFont"/>
    <w:link w:val="FootnoteText"/>
    <w:uiPriority w:val="99"/>
    <w:rsid w:val="000330B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330BA"/>
    <w:rPr>
      <w:vertAlign w:val="superscript"/>
    </w:rPr>
  </w:style>
  <w:style w:type="paragraph" w:styleId="NormalWeb">
    <w:name w:val="Normal (Web)"/>
    <w:basedOn w:val="Normal"/>
    <w:uiPriority w:val="99"/>
    <w:rsid w:val="000330BA"/>
    <w:pPr>
      <w:spacing w:before="120" w:after="240" w:line="360" w:lineRule="atLeast"/>
    </w:pPr>
    <w:rPr>
      <w:sz w:val="29"/>
      <w:szCs w:val="29"/>
    </w:rPr>
  </w:style>
  <w:style w:type="paragraph" w:styleId="Header">
    <w:name w:val="header"/>
    <w:basedOn w:val="Normal"/>
    <w:link w:val="HeaderChar"/>
    <w:uiPriority w:val="99"/>
    <w:unhideWhenUsed/>
    <w:rsid w:val="005E5D2F"/>
    <w:pPr>
      <w:tabs>
        <w:tab w:val="center" w:pos="4680"/>
        <w:tab w:val="right" w:pos="9360"/>
      </w:tabs>
    </w:pPr>
  </w:style>
  <w:style w:type="character" w:customStyle="1" w:styleId="HeaderChar">
    <w:name w:val="Header Char"/>
    <w:basedOn w:val="DefaultParagraphFont"/>
    <w:link w:val="Header"/>
    <w:uiPriority w:val="99"/>
    <w:rsid w:val="005E5D2F"/>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5E5D2F"/>
    <w:pPr>
      <w:tabs>
        <w:tab w:val="center" w:pos="4680"/>
        <w:tab w:val="right" w:pos="9360"/>
      </w:tabs>
    </w:pPr>
  </w:style>
  <w:style w:type="character" w:customStyle="1" w:styleId="FooterChar">
    <w:name w:val="Footer Char"/>
    <w:basedOn w:val="DefaultParagraphFont"/>
    <w:link w:val="Footer"/>
    <w:uiPriority w:val="99"/>
    <w:semiHidden/>
    <w:rsid w:val="005E5D2F"/>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71290-A5A8-4AD4-953F-9E6AA05C399C}"/>
</file>

<file path=customXml/itemProps2.xml><?xml version="1.0" encoding="utf-8"?>
<ds:datastoreItem xmlns:ds="http://schemas.openxmlformats.org/officeDocument/2006/customXml" ds:itemID="{C9592CF6-D3E8-4FFA-A29A-97E193DE4746}"/>
</file>

<file path=customXml/itemProps3.xml><?xml version="1.0" encoding="utf-8"?>
<ds:datastoreItem xmlns:ds="http://schemas.openxmlformats.org/officeDocument/2006/customXml" ds:itemID="{853C585A-F26F-4DBF-BD75-D872AF303C4A}"/>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CHUC CHINH QUYEN</dc:creator>
  <cp:lastModifiedBy>TO CHUC CHINH QUYEN</cp:lastModifiedBy>
  <cp:revision>3</cp:revision>
  <dcterms:created xsi:type="dcterms:W3CDTF">2021-09-23T02:35:00Z</dcterms:created>
  <dcterms:modified xsi:type="dcterms:W3CDTF">2021-10-06T07:46:00Z</dcterms:modified>
</cp:coreProperties>
</file>