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5" w:type="dxa"/>
        <w:jc w:val="center"/>
        <w:tblLook w:val="01E0" w:firstRow="1" w:lastRow="1" w:firstColumn="1" w:lastColumn="1" w:noHBand="0" w:noVBand="0"/>
      </w:tblPr>
      <w:tblGrid>
        <w:gridCol w:w="4019"/>
        <w:gridCol w:w="6116"/>
      </w:tblGrid>
      <w:tr w:rsidR="00EE112F" w:rsidRPr="00CC7FC0" w:rsidTr="00895467">
        <w:trPr>
          <w:trHeight w:val="1438"/>
          <w:jc w:val="center"/>
        </w:trPr>
        <w:tc>
          <w:tcPr>
            <w:tcW w:w="4019" w:type="dxa"/>
          </w:tcPr>
          <w:p w:rsidR="00EE112F" w:rsidRPr="00CC7FC0" w:rsidRDefault="009873F0" w:rsidP="006B2AA0">
            <w:pPr>
              <w:jc w:val="center"/>
              <w:rPr>
                <w:b/>
              </w:rPr>
            </w:pPr>
            <w:r w:rsidRPr="00CC7FC0">
              <w:rPr>
                <w:b/>
              </w:rPr>
              <w:t>ỦY BAN NHÂN DÂN</w:t>
            </w:r>
          </w:p>
          <w:p w:rsidR="009873F0" w:rsidRPr="00CC7FC0" w:rsidRDefault="009873F0" w:rsidP="006B2AA0">
            <w:pPr>
              <w:jc w:val="center"/>
            </w:pPr>
            <w:r w:rsidRPr="00CC7FC0">
              <w:rPr>
                <w:b/>
              </w:rPr>
              <w:t>TỈNH ĐỒNG NAI</w:t>
            </w:r>
          </w:p>
          <w:p w:rsidR="00EE112F" w:rsidRPr="00CC7FC0" w:rsidRDefault="003D372C" w:rsidP="006B2AA0">
            <w:pPr>
              <w:jc w:val="center"/>
              <w:rPr>
                <w:b/>
                <w:sz w:val="26"/>
                <w:szCs w:val="26"/>
              </w:rPr>
            </w:pPr>
            <w:r>
              <w:rPr>
                <w:b/>
                <w:noProof/>
                <w:sz w:val="26"/>
                <w:szCs w:val="26"/>
              </w:rPr>
              <mc:AlternateContent>
                <mc:Choice Requires="wps">
                  <w:drawing>
                    <wp:anchor distT="4294967295" distB="4294967295" distL="114300" distR="114300" simplePos="0" relativeHeight="251665408" behindDoc="0" locked="0" layoutInCell="1" allowOverlap="1">
                      <wp:simplePos x="0" y="0"/>
                      <wp:positionH relativeFrom="column">
                        <wp:posOffset>732790</wp:posOffset>
                      </wp:positionH>
                      <wp:positionV relativeFrom="paragraph">
                        <wp:posOffset>42544</wp:posOffset>
                      </wp:positionV>
                      <wp:extent cx="866775" cy="0"/>
                      <wp:effectExtent l="0" t="0" r="952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78818" id="_x0000_t32" coordsize="21600,21600" o:spt="32" o:oned="t" path="m,l21600,21600e" filled="f">
                      <v:path arrowok="t" fillok="f" o:connecttype="none"/>
                      <o:lock v:ext="edit" shapetype="t"/>
                    </v:shapetype>
                    <v:shape id="AutoShape 6" o:spid="_x0000_s1026" type="#_x0000_t32" style="position:absolute;margin-left:57.7pt;margin-top:3.35pt;width:68.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CAHQIAADo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"/>
                  </w:pict>
                </mc:Fallback>
              </mc:AlternateContent>
            </w:r>
          </w:p>
          <w:p w:rsidR="00EE112F" w:rsidRPr="00CC7FC0" w:rsidRDefault="00EE112F" w:rsidP="006B2AA0">
            <w:pPr>
              <w:jc w:val="center"/>
              <w:rPr>
                <w:sz w:val="26"/>
                <w:szCs w:val="26"/>
              </w:rPr>
            </w:pPr>
            <w:r w:rsidRPr="00CC7FC0">
              <w:rPr>
                <w:sz w:val="26"/>
                <w:szCs w:val="26"/>
              </w:rPr>
              <w:t>Số:         /</w:t>
            </w:r>
            <w:r w:rsidR="007C4D7E">
              <w:rPr>
                <w:sz w:val="26"/>
                <w:szCs w:val="26"/>
              </w:rPr>
              <w:t>TTr</w:t>
            </w:r>
            <w:r w:rsidRPr="00CC7FC0">
              <w:rPr>
                <w:sz w:val="26"/>
                <w:szCs w:val="26"/>
              </w:rPr>
              <w:t>-</w:t>
            </w:r>
            <w:r w:rsidR="009873F0" w:rsidRPr="00CC7FC0">
              <w:rPr>
                <w:sz w:val="26"/>
                <w:szCs w:val="26"/>
              </w:rPr>
              <w:t>UBND</w:t>
            </w:r>
          </w:p>
          <w:p w:rsidR="009873F0" w:rsidRPr="00CC7FC0" w:rsidRDefault="003D372C" w:rsidP="006B2AA0">
            <w:pPr>
              <w:jc w:val="center"/>
              <w:rPr>
                <w:sz w:val="26"/>
                <w:szCs w:val="26"/>
              </w:rPr>
            </w:pPr>
            <w:r>
              <w:rPr>
                <w:noProof/>
                <w:sz w:val="26"/>
                <w:szCs w:val="26"/>
              </w:rPr>
              <mc:AlternateContent>
                <mc:Choice Requires="wps">
                  <w:drawing>
                    <wp:anchor distT="0" distB="0" distL="114300" distR="114300" simplePos="0" relativeHeight="251666432" behindDoc="0" locked="0" layoutInCell="1" allowOverlap="1">
                      <wp:simplePos x="0" y="0"/>
                      <wp:positionH relativeFrom="column">
                        <wp:posOffset>720725</wp:posOffset>
                      </wp:positionH>
                      <wp:positionV relativeFrom="paragraph">
                        <wp:posOffset>127635</wp:posOffset>
                      </wp:positionV>
                      <wp:extent cx="1019175" cy="314325"/>
                      <wp:effectExtent l="0" t="0" r="9525" b="952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14325"/>
                              </a:xfrm>
                              <a:prstGeom prst="rect">
                                <a:avLst/>
                              </a:prstGeom>
                              <a:solidFill>
                                <a:srgbClr val="FFFFFF"/>
                              </a:solidFill>
                              <a:ln w="9525">
                                <a:solidFill>
                                  <a:srgbClr val="000000"/>
                                </a:solidFill>
                                <a:miter lim="800000"/>
                                <a:headEnd/>
                                <a:tailEnd/>
                              </a:ln>
                            </wps:spPr>
                            <wps:txbx>
                              <w:txbxContent>
                                <w:p w:rsidR="001D5DA8" w:rsidRDefault="001D5DA8">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56.75pt;margin-top:10.05pt;width:8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">
                      <v:textbox>
                        <w:txbxContent>
                          <w:p w:rsidR="001D5DA8" w:rsidRDefault="001D5DA8">
                            <w:r>
                              <w:t>DỰ THẢO</w:t>
                            </w:r>
                          </w:p>
                        </w:txbxContent>
                      </v:textbox>
                    </v:rect>
                  </w:pict>
                </mc:Fallback>
              </mc:AlternateContent>
            </w:r>
          </w:p>
          <w:p w:rsidR="009873F0" w:rsidRPr="00CC7FC0" w:rsidRDefault="009873F0" w:rsidP="006B2AA0">
            <w:pPr>
              <w:jc w:val="center"/>
              <w:rPr>
                <w:sz w:val="26"/>
                <w:szCs w:val="26"/>
              </w:rPr>
            </w:pPr>
          </w:p>
        </w:tc>
        <w:tc>
          <w:tcPr>
            <w:tcW w:w="6116" w:type="dxa"/>
          </w:tcPr>
          <w:p w:rsidR="00EE112F" w:rsidRPr="00CC7FC0" w:rsidRDefault="00EE112F" w:rsidP="006B2AA0">
            <w:pPr>
              <w:rPr>
                <w:b/>
                <w:sz w:val="26"/>
                <w:szCs w:val="26"/>
              </w:rPr>
            </w:pPr>
            <w:r w:rsidRPr="00CC7FC0">
              <w:rPr>
                <w:b/>
                <w:sz w:val="26"/>
                <w:szCs w:val="26"/>
              </w:rPr>
              <w:t>CỘNG HÒA XÃ HỘI CHỦ NGHĨA VIỆT NAM</w:t>
            </w:r>
          </w:p>
          <w:p w:rsidR="00EE112F" w:rsidRPr="00CC7FC0" w:rsidRDefault="00EE112F" w:rsidP="006B2AA0">
            <w:pPr>
              <w:jc w:val="center"/>
              <w:rPr>
                <w:b/>
              </w:rPr>
            </w:pPr>
            <w:r w:rsidRPr="00CC7FC0">
              <w:rPr>
                <w:b/>
              </w:rPr>
              <w:t xml:space="preserve"> Độc lập - Tự do - Hạnh phúc</w:t>
            </w:r>
          </w:p>
          <w:p w:rsidR="00EE112F" w:rsidRPr="00CC7FC0" w:rsidRDefault="003D372C" w:rsidP="006B2AA0">
            <w:pPr>
              <w:jc w:val="cente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836295</wp:posOffset>
                      </wp:positionH>
                      <wp:positionV relativeFrom="paragraph">
                        <wp:posOffset>32384</wp:posOffset>
                      </wp:positionV>
                      <wp:extent cx="2106930" cy="0"/>
                      <wp:effectExtent l="0" t="0" r="762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884D4" id="AutoShape 5" o:spid="_x0000_s1026" type="#_x0000_t32" style="position:absolute;margin-left:65.85pt;margin-top:2.55pt;width:165.9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77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2kSz5cP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"/>
                  </w:pict>
                </mc:Fallback>
              </mc:AlternateContent>
            </w:r>
          </w:p>
          <w:p w:rsidR="00EE112F" w:rsidRPr="00CC7FC0" w:rsidRDefault="00EE112F" w:rsidP="006B2AA0">
            <w:pPr>
              <w:jc w:val="center"/>
              <w:rPr>
                <w:b/>
              </w:rPr>
            </w:pPr>
            <w:r w:rsidRPr="00CC7FC0">
              <w:rPr>
                <w:i/>
              </w:rPr>
              <w:t xml:space="preserve">        Đồng Nai, ngày        tháng       năm 202</w:t>
            </w:r>
            <w:r w:rsidR="007C4D7E">
              <w:rPr>
                <w:i/>
              </w:rPr>
              <w:t>2</w:t>
            </w:r>
          </w:p>
          <w:p w:rsidR="00EE112F" w:rsidRPr="00CC7FC0" w:rsidRDefault="00EE112F" w:rsidP="006B2AA0"/>
          <w:p w:rsidR="009873F0" w:rsidRPr="00CC7FC0" w:rsidRDefault="009873F0" w:rsidP="006B2AA0"/>
        </w:tc>
      </w:tr>
    </w:tbl>
    <w:p w:rsidR="00AC28B1" w:rsidRPr="00CC7FC0" w:rsidRDefault="00AC28B1" w:rsidP="006B2AA0">
      <w:pPr>
        <w:widowControl w:val="0"/>
        <w:tabs>
          <w:tab w:val="right" w:leader="dot" w:pos="7920"/>
        </w:tabs>
        <w:spacing w:line="420" w:lineRule="exact"/>
        <w:jc w:val="center"/>
        <w:rPr>
          <w:b/>
        </w:rPr>
      </w:pPr>
      <w:r w:rsidRPr="00CC7FC0">
        <w:rPr>
          <w:b/>
        </w:rPr>
        <w:t>TỜ TRÌNH</w:t>
      </w:r>
    </w:p>
    <w:p w:rsidR="00AC28B1" w:rsidRPr="00CC7FC0" w:rsidRDefault="00A30DD4" w:rsidP="007C4D7E">
      <w:pPr>
        <w:jc w:val="center"/>
        <w:rPr>
          <w:b/>
        </w:rPr>
      </w:pPr>
      <w:r>
        <w:rPr>
          <w:b/>
        </w:rPr>
        <w:t xml:space="preserve">Dự thảo </w:t>
      </w:r>
      <w:r w:rsidR="00AC28B1" w:rsidRPr="00CC7FC0">
        <w:rPr>
          <w:b/>
        </w:rPr>
        <w:t xml:space="preserve">Nghị quyết quy định </w:t>
      </w:r>
      <w:r w:rsidR="007C4D7E">
        <w:rPr>
          <w:b/>
        </w:rPr>
        <w:t>chính sách hỗ trợ kinh phí cho một số đơn vị sự nghiệp công lập thu không đủ chi năm 2021 do tác động của dịch COVID-19 trên địa bàn tỉnh Đồng Nai</w:t>
      </w:r>
    </w:p>
    <w:p w:rsidR="00AC28B1" w:rsidRPr="00CC7FC0" w:rsidRDefault="003D372C" w:rsidP="006B2AA0">
      <w:pPr>
        <w:widowControl w:val="0"/>
        <w:tabs>
          <w:tab w:val="right" w:leader="dot" w:pos="7920"/>
        </w:tabs>
        <w:spacing w:line="420" w:lineRule="exact"/>
        <w:jc w:val="center"/>
        <w:rPr>
          <w:b/>
        </w:rPr>
      </w:pPr>
      <w:r>
        <w:rPr>
          <w:b/>
          <w:noProof/>
        </w:rPr>
        <mc:AlternateContent>
          <mc:Choice Requires="wps">
            <w:drawing>
              <wp:anchor distT="4294967295" distB="4294967295" distL="114300" distR="114300" simplePos="0" relativeHeight="251667456" behindDoc="0" locked="0" layoutInCell="1" allowOverlap="1">
                <wp:simplePos x="0" y="0"/>
                <wp:positionH relativeFrom="column">
                  <wp:posOffset>2211705</wp:posOffset>
                </wp:positionH>
                <wp:positionV relativeFrom="paragraph">
                  <wp:posOffset>139699</wp:posOffset>
                </wp:positionV>
                <wp:extent cx="1510665" cy="0"/>
                <wp:effectExtent l="0" t="0" r="13335"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4C2E1" id="AutoShape 11" o:spid="_x0000_s1026" type="#_x0000_t32" style="position:absolute;margin-left:174.15pt;margin-top:11pt;width:118.9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"/>
            </w:pict>
          </mc:Fallback>
        </mc:AlternateContent>
      </w:r>
    </w:p>
    <w:p w:rsidR="00AC28B1" w:rsidRPr="00CC7FC0" w:rsidRDefault="00AC28B1" w:rsidP="006B2AA0">
      <w:pPr>
        <w:widowControl w:val="0"/>
        <w:tabs>
          <w:tab w:val="right" w:leader="dot" w:pos="7920"/>
        </w:tabs>
        <w:spacing w:line="420" w:lineRule="exact"/>
        <w:jc w:val="center"/>
      </w:pPr>
    </w:p>
    <w:p w:rsidR="00AC28B1" w:rsidRPr="00CC7FC0" w:rsidRDefault="00AC28B1" w:rsidP="006B2AA0">
      <w:pPr>
        <w:widowControl w:val="0"/>
        <w:tabs>
          <w:tab w:val="right" w:leader="dot" w:pos="7920"/>
        </w:tabs>
        <w:spacing w:line="420" w:lineRule="exact"/>
        <w:jc w:val="center"/>
      </w:pPr>
      <w:r w:rsidRPr="00CC7FC0">
        <w:t>Kính gửi: Hội đồng nhân dân tỉnh</w:t>
      </w:r>
    </w:p>
    <w:p w:rsidR="00AC28B1" w:rsidRPr="00CC7FC0" w:rsidRDefault="00AC28B1" w:rsidP="006B2AA0">
      <w:pPr>
        <w:widowControl w:val="0"/>
        <w:tabs>
          <w:tab w:val="right" w:leader="dot" w:pos="7920"/>
        </w:tabs>
        <w:spacing w:line="420" w:lineRule="exact"/>
        <w:jc w:val="center"/>
        <w:rPr>
          <w:sz w:val="8"/>
        </w:rPr>
      </w:pPr>
    </w:p>
    <w:p w:rsidR="00AC28B1" w:rsidRPr="00CC7FC0" w:rsidRDefault="00AC28B1" w:rsidP="00322E9F">
      <w:pPr>
        <w:spacing w:after="120"/>
        <w:ind w:firstLine="709"/>
        <w:jc w:val="both"/>
      </w:pPr>
      <w:r w:rsidRPr="00CC7FC0">
        <w:t>Thực hiện quy định của Luật Ban hành văn bản quy phạm pháp luật, Ủy ban nhân dân tỉnh</w:t>
      </w:r>
      <w:r w:rsidR="00E0323B">
        <w:t xml:space="preserve"> (UBND tỉnh)</w:t>
      </w:r>
      <w:r w:rsidRPr="00CC7FC0">
        <w:t xml:space="preserve"> kính trình Hội đồng nhân dân tỉnh </w:t>
      </w:r>
      <w:r w:rsidR="00EA0CC0">
        <w:t xml:space="preserve">(HĐND tỉnh) </w:t>
      </w:r>
      <w:r w:rsidR="00A30DD4">
        <w:t xml:space="preserve">dự thảo </w:t>
      </w:r>
      <w:r w:rsidR="007C4D7E" w:rsidRPr="007C4D7E">
        <w:t>Nghị quyết quy định chính sách hỗ trợ kinh phí cho một số đơn vị sự nghiệp công lập thu không đủ chi năm 2021 do tác động của dịch COVID-19 trên địa bàn tỉnh Đồng Nai</w:t>
      </w:r>
      <w:r w:rsidRPr="00CC7FC0">
        <w:t xml:space="preserve"> như sau:</w:t>
      </w:r>
    </w:p>
    <w:p w:rsidR="00AC28B1" w:rsidRDefault="00AC28B1" w:rsidP="00322E9F">
      <w:pPr>
        <w:widowControl w:val="0"/>
        <w:tabs>
          <w:tab w:val="right" w:leader="dot" w:pos="7920"/>
        </w:tabs>
        <w:spacing w:after="120"/>
        <w:ind w:firstLine="567"/>
        <w:jc w:val="both"/>
        <w:rPr>
          <w:b/>
        </w:rPr>
      </w:pPr>
      <w:r w:rsidRPr="00CC7FC0">
        <w:rPr>
          <w:b/>
        </w:rPr>
        <w:t>I. SỰ CẦN THIẾT BAN HÀNH VĂN BẢN</w:t>
      </w:r>
    </w:p>
    <w:p w:rsidR="00E05BA4" w:rsidRDefault="00E05BA4" w:rsidP="00322E9F">
      <w:pPr>
        <w:spacing w:after="120"/>
        <w:ind w:firstLine="567"/>
        <w:jc w:val="both"/>
        <w:rPr>
          <w:b/>
          <w:spacing w:val="-4"/>
          <w:lang w:val="nl-NL"/>
        </w:rPr>
      </w:pPr>
      <w:r>
        <w:rPr>
          <w:b/>
          <w:spacing w:val="-4"/>
          <w:lang w:val="nl-NL"/>
        </w:rPr>
        <w:t>1. Cơ sở pháp lý</w:t>
      </w:r>
    </w:p>
    <w:p w:rsidR="00E05BA4" w:rsidRDefault="00E05BA4" w:rsidP="00322E9F">
      <w:pPr>
        <w:spacing w:after="120"/>
        <w:ind w:firstLine="709"/>
        <w:jc w:val="both"/>
        <w:rPr>
          <w:shd w:val="clear" w:color="auto" w:fill="FFFFFF"/>
        </w:rPr>
      </w:pPr>
      <w:r>
        <w:rPr>
          <w:iCs/>
          <w:shd w:val="clear" w:color="auto" w:fill="FFFFFF"/>
        </w:rPr>
        <w:t>Căn cứ khoản 4 Điều 30 Luật Ngân sách nhà nước quy định nhiệm vụ, quyền hạn của Hội đồng nhân dân các cấp “</w:t>
      </w:r>
      <w:r>
        <w:rPr>
          <w:i/>
          <w:shd w:val="clear" w:color="auto" w:fill="FFFFFF"/>
        </w:rPr>
        <w:t xml:space="preserve">Quyết định các chủ trương, biện pháp để triển khai thực hiện ngân sách địa phương” </w:t>
      </w:r>
      <w:r>
        <w:rPr>
          <w:shd w:val="clear" w:color="auto" w:fill="FFFFFF"/>
        </w:rPr>
        <w:t>và</w:t>
      </w:r>
      <w:r>
        <w:t xml:space="preserve"> điểm h khoản 9 Điều 30 Luật Ngân sách nhà nước và khoản 3 </w:t>
      </w:r>
      <w:r>
        <w:rPr>
          <w:shd w:val="clear" w:color="auto" w:fill="FFFFFF"/>
        </w:rPr>
        <w:t xml:space="preserve">Điều 21 Nghị định số 163/2016/NĐ-CP ngày 21/12/2016 của Chính phủ quy định chi tiết thi hành một số điều của Luật Ngân sách </w:t>
      </w:r>
      <w:r>
        <w:t>quy định nhiệm vụ, quyền hạn của Hội đồng nhân dân tỉnh: “</w:t>
      </w:r>
      <w:r>
        <w:rPr>
          <w:i/>
          <w:shd w:val="clear" w:color="auto" w:fill="FFFFFF"/>
        </w:rPr>
        <w:t>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r>
        <w:rPr>
          <w:shd w:val="clear" w:color="auto" w:fill="FFFFFF"/>
        </w:rPr>
        <w:t>”</w:t>
      </w:r>
    </w:p>
    <w:p w:rsidR="00E05BA4" w:rsidRDefault="00E05BA4" w:rsidP="00322E9F">
      <w:pPr>
        <w:spacing w:after="120"/>
        <w:ind w:firstLine="709"/>
        <w:jc w:val="both"/>
        <w:rPr>
          <w:spacing w:val="-2"/>
          <w:shd w:val="clear" w:color="auto" w:fill="FFFFFF"/>
        </w:rPr>
      </w:pPr>
      <w:r>
        <w:rPr>
          <w:shd w:val="clear" w:color="auto" w:fill="FFFFFF"/>
        </w:rPr>
        <w:t xml:space="preserve">Trên cơ sở </w:t>
      </w:r>
      <w:r w:rsidR="00784D7D">
        <w:rPr>
          <w:shd w:val="clear" w:color="auto" w:fill="FFFFFF"/>
        </w:rPr>
        <w:t>hướng dẫn của Bộ Tài chính tại Công v</w:t>
      </w:r>
      <w:r>
        <w:rPr>
          <w:shd w:val="clear" w:color="auto" w:fill="FFFFFF"/>
        </w:rPr>
        <w:t>ăn số 9070/BTC-HCSN ngày 28/7/2020</w:t>
      </w:r>
      <w:r>
        <w:rPr>
          <w:iCs/>
          <w:shd w:val="clear" w:color="auto" w:fill="FFFFFF"/>
        </w:rPr>
        <w:t xml:space="preserve"> và </w:t>
      </w:r>
      <w:r w:rsidR="00784D7D">
        <w:rPr>
          <w:shd w:val="clear" w:color="auto" w:fill="FFFFFF"/>
        </w:rPr>
        <w:t xml:space="preserve">Công văn </w:t>
      </w:r>
      <w:r>
        <w:rPr>
          <w:shd w:val="clear" w:color="auto" w:fill="FFFFFF"/>
        </w:rPr>
        <w:t xml:space="preserve">số 14406/BTC-HCSN ngày 20/12/2021 có xác định </w:t>
      </w:r>
      <w:r>
        <w:rPr>
          <w:i/>
          <w:spacing w:val="-2"/>
          <w:shd w:val="clear" w:color="auto" w:fill="FFFFFF"/>
        </w:rPr>
        <w:t>“Việc ban hành cơ chế, chính sách hỗ trợ các đơn vị sự nghiệp công lập tại địa phương bị giảm nguồn thu, không đảm bảo chi lương và chi hoạt động do ảnh hưởng của dịch COVID-19 thuộc thẩm quyền của Hội đồng nhân dân tỉnh. Bộ Tài chính đề nghị Sở Tài chính Đồng Nai báo cáo Ủy ban nhân dân tỉnh trình Hội đồng nhân dân tỉnh ban hành cơ chế, chính sách hỗ trợ các đơn vị sự nghiệp công lập</w:t>
      </w:r>
      <w:r>
        <w:rPr>
          <w:spacing w:val="-2"/>
          <w:shd w:val="clear" w:color="auto" w:fill="FFFFFF"/>
        </w:rPr>
        <w:t>…”</w:t>
      </w:r>
    </w:p>
    <w:p w:rsidR="00E05BA4" w:rsidRDefault="00E05BA4" w:rsidP="00322E9F">
      <w:pPr>
        <w:spacing w:after="120"/>
        <w:ind w:firstLine="567"/>
        <w:jc w:val="both"/>
        <w:rPr>
          <w:spacing w:val="-2"/>
        </w:rPr>
      </w:pPr>
      <w:r>
        <w:rPr>
          <w:spacing w:val="-2"/>
        </w:rPr>
        <w:t>Căn cứ khoản 4 Điều 27 Luật Ban hành văn bản quy phạm pháp luật, để đảm bảo</w:t>
      </w:r>
      <w:r w:rsidR="00994611">
        <w:rPr>
          <w:spacing w:val="-2"/>
        </w:rPr>
        <w:t xml:space="preserve"> các</w:t>
      </w:r>
      <w:r>
        <w:rPr>
          <w:spacing w:val="-2"/>
        </w:rPr>
        <w:t xml:space="preserve"> chi phí hoạt động thường xuyên </w:t>
      </w:r>
      <w:r w:rsidR="00994611">
        <w:rPr>
          <w:spacing w:val="-2"/>
        </w:rPr>
        <w:t xml:space="preserve">theo quy định tại Nghị định số </w:t>
      </w:r>
      <w:r w:rsidR="00994611">
        <w:rPr>
          <w:spacing w:val="-2"/>
        </w:rPr>
        <w:lastRenderedPageBreak/>
        <w:t xml:space="preserve">60/2021/NĐ-CP </w:t>
      </w:r>
      <w:r>
        <w:rPr>
          <w:spacing w:val="-2"/>
        </w:rPr>
        <w:t xml:space="preserve">cho các đơn vị sự nghiệp công lập không đủ thu chi năm 2021 do tác động của dịch COVID-19, </w:t>
      </w:r>
      <w:r w:rsidR="00EA0CC0">
        <w:rPr>
          <w:spacing w:val="-2"/>
        </w:rPr>
        <w:t xml:space="preserve">UBND </w:t>
      </w:r>
      <w:r>
        <w:rPr>
          <w:spacing w:val="-2"/>
        </w:rPr>
        <w:t xml:space="preserve">tỉnh trình </w:t>
      </w:r>
      <w:r w:rsidR="002E7EC6">
        <w:rPr>
          <w:spacing w:val="-2"/>
        </w:rPr>
        <w:t>HĐND</w:t>
      </w:r>
      <w:r>
        <w:rPr>
          <w:spacing w:val="-2"/>
        </w:rPr>
        <w:t xml:space="preserve"> tỉnh </w:t>
      </w:r>
      <w:r w:rsidR="00730CAB">
        <w:rPr>
          <w:spacing w:val="-2"/>
        </w:rPr>
        <w:t>dự thảo</w:t>
      </w:r>
      <w:r>
        <w:rPr>
          <w:spacing w:val="-2"/>
        </w:rPr>
        <w:t xml:space="preserve"> Nghị quyết là cần thiết và phù hợp về thẩm quyền theo quy định.</w:t>
      </w:r>
    </w:p>
    <w:p w:rsidR="00E05BA4" w:rsidRDefault="00E05BA4" w:rsidP="00322E9F">
      <w:pPr>
        <w:spacing w:after="120"/>
        <w:ind w:firstLine="709"/>
        <w:jc w:val="both"/>
      </w:pPr>
      <w:r>
        <w:rPr>
          <w:b/>
          <w:lang w:val="nl-NL"/>
        </w:rPr>
        <w:t xml:space="preserve"> 2. Sự cần thiết ban hành</w:t>
      </w:r>
      <w:r>
        <w:t xml:space="preserve"> </w:t>
      </w:r>
    </w:p>
    <w:p w:rsidR="002E7EC6" w:rsidRDefault="002E7EC6" w:rsidP="00322E9F">
      <w:pPr>
        <w:spacing w:after="120"/>
        <w:ind w:firstLine="709"/>
        <w:jc w:val="both"/>
      </w:pPr>
      <w:r>
        <w:t>Dịch bệnh COVID-19 năm 2020-2021 đã cho thấy một số bất cập trong hệ thống văn bản quy phạm pháp luật dẫn đến khó khăn trong cân đối thu – chi thường xuyên của một số đơn vị sự nghiệp công lập, cụ thể như sau:</w:t>
      </w:r>
    </w:p>
    <w:p w:rsidR="002316A9" w:rsidRDefault="00121135" w:rsidP="00322E9F">
      <w:pPr>
        <w:spacing w:after="120"/>
        <w:ind w:firstLine="709"/>
        <w:jc w:val="both"/>
      </w:pPr>
      <w:r>
        <w:t>Theo quy định hiện hành, các đơn vị sự nghiệp công lập được phân loại làm 04 nhóm theo mức độ tự chủ tài chính: đơn vị sự nghiệp công lập tự bảo đảm chi đầu tư và chi thường xuyên (đơn vị nhóm I), đơn vị sự nghiệp công lập tự bảo đảm chi thường xuyên (đơn vị nhóm II), đơn vị sự nghiệp công lập tự bảo đảm một phần chi thường xuyên (đơn vị nhóm III), đơn vị sự nghiệp công lập do Nhà nước bảo đảm chi thường xuyên (đơn vị nhóm IV).</w:t>
      </w:r>
      <w:r w:rsidR="00867A63">
        <w:t xml:space="preserve"> </w:t>
      </w:r>
      <w:r w:rsidR="002E7EC6">
        <w:t>C</w:t>
      </w:r>
      <w:r w:rsidR="002316A9">
        <w:t xml:space="preserve">ác </w:t>
      </w:r>
      <w:r w:rsidR="002E7EC6">
        <w:t xml:space="preserve">quy định pháp luật </w:t>
      </w:r>
      <w:r w:rsidR="002316A9">
        <w:t xml:space="preserve">về nguồn tài chính để chi thường xuyên và việc sử dụng nguồn tài chính của </w:t>
      </w:r>
      <w:r w:rsidR="002316A9" w:rsidRPr="00B53FD4">
        <w:t xml:space="preserve">đơn vị </w:t>
      </w:r>
      <w:r w:rsidR="002316A9">
        <w:t>nhóm II</w:t>
      </w:r>
      <w:r w:rsidR="00867A63">
        <w:t xml:space="preserve"> và </w:t>
      </w:r>
      <w:r w:rsidR="002316A9" w:rsidRPr="00B53FD4">
        <w:t xml:space="preserve">đơn vị </w:t>
      </w:r>
      <w:r w:rsidR="002316A9">
        <w:t>nhóm III được quy định tại các nghị định của Chính phủ: Nghị định số 43/2006/NĐ-CP, Nghị định số 85/2012/NĐ-CP, Nghị định số 54/2016/NĐ-CP, Nghị định số 141/2016/NĐ-CP, Nghị định số 60/2021/NĐ-CP</w:t>
      </w:r>
      <w:r w:rsidR="002316A9" w:rsidRPr="00A76D5E">
        <w:t xml:space="preserve">; </w:t>
      </w:r>
      <w:r w:rsidR="002316A9">
        <w:t xml:space="preserve">các thông tư của Bộ Tài chính: </w:t>
      </w:r>
      <w:r w:rsidR="002316A9" w:rsidRPr="00A76D5E">
        <w:t>Thông tư số 71/</w:t>
      </w:r>
      <w:r w:rsidR="002316A9">
        <w:t>2006/TT-BTC ngày 09/8/2006 H</w:t>
      </w:r>
      <w:r w:rsidR="002316A9" w:rsidRPr="00BA1B56">
        <w:t xml:space="preserve">ướng dẫn thực </w:t>
      </w:r>
      <w:r w:rsidR="002316A9">
        <w:t xml:space="preserve">hiện Nghị định số 43/2006/NĐ-CP; </w:t>
      </w:r>
      <w:r w:rsidR="002316A9" w:rsidRPr="00A76D5E">
        <w:t xml:space="preserve">Thông tư </w:t>
      </w:r>
      <w:r w:rsidR="002316A9">
        <w:t xml:space="preserve">số </w:t>
      </w:r>
      <w:r w:rsidR="002316A9" w:rsidRPr="00A76D5E">
        <w:t xml:space="preserve">90/2017/TT-BTC </w:t>
      </w:r>
      <w:r w:rsidR="002316A9">
        <w:t xml:space="preserve">ngày 30/8/2017 </w:t>
      </w:r>
      <w:r w:rsidR="002316A9" w:rsidRPr="00A76D5E">
        <w:t>Quy định việc thực hiện cơ chế tự chủ tài chính đối với tổ chức khoa học và công nghệ công lập</w:t>
      </w:r>
      <w:r w:rsidR="002316A9">
        <w:t xml:space="preserve">; Thông tư số 145/2017/TT-BTC ngày 29/12/2017 </w:t>
      </w:r>
      <w:r w:rsidR="002316A9" w:rsidRPr="00A76D5E">
        <w:t xml:space="preserve">hướng dẫn cơ chế tài chính của đơn vị sự nghiệp công lập theo </w:t>
      </w:r>
      <w:r w:rsidR="002316A9">
        <w:t>N</w:t>
      </w:r>
      <w:r w:rsidR="002316A9" w:rsidRPr="00A76D5E">
        <w:t>ghị định số 141/2016/NĐ-CP</w:t>
      </w:r>
      <w:r w:rsidR="002316A9">
        <w:t>.</w:t>
      </w:r>
    </w:p>
    <w:p w:rsidR="00322E9F" w:rsidRDefault="002316A9" w:rsidP="00322E9F">
      <w:pPr>
        <w:spacing w:after="120"/>
        <w:ind w:firstLine="709"/>
        <w:jc w:val="both"/>
      </w:pPr>
      <w:r>
        <w:t>Theo đó, nguồn tài chính để chi thường xuyên của đơn vị sự nghiệp công lập nhóm II, nhóm III gồm</w:t>
      </w:r>
      <w:r w:rsidR="00322E9F">
        <w:t>:</w:t>
      </w:r>
    </w:p>
    <w:p w:rsidR="00322E9F" w:rsidRDefault="00322E9F" w:rsidP="00322E9F">
      <w:pPr>
        <w:spacing w:after="120"/>
        <w:ind w:firstLine="709"/>
        <w:jc w:val="both"/>
      </w:pPr>
      <w:r>
        <w:t>-</w:t>
      </w:r>
      <w:r w:rsidR="002316A9">
        <w:t xml:space="preserve"> </w:t>
      </w:r>
      <w:r>
        <w:t>N</w:t>
      </w:r>
      <w:r w:rsidR="002316A9">
        <w:t xml:space="preserve">guồn ngân sách nhà nước cấp </w:t>
      </w:r>
      <w:r w:rsidR="002316A9">
        <w:rPr>
          <w:lang w:val="vi-VN"/>
        </w:rPr>
        <w:t xml:space="preserve">để </w:t>
      </w:r>
      <w:r w:rsidR="002316A9">
        <w:t xml:space="preserve">hỗ trợ một phần chi thường xuyên </w:t>
      </w:r>
      <w:r w:rsidR="00994611">
        <w:t xml:space="preserve">theo phương án tự chủ được phê duyệt </w:t>
      </w:r>
      <w:r w:rsidR="002316A9">
        <w:t>(đối với đơn vị nhóm III)</w:t>
      </w:r>
      <w:r w:rsidR="002316A9">
        <w:rPr>
          <w:lang w:val="vi-VN"/>
        </w:rPr>
        <w:t>;</w:t>
      </w:r>
      <w:r w:rsidR="002316A9">
        <w:t xml:space="preserve"> </w:t>
      </w:r>
    </w:p>
    <w:p w:rsidR="00322E9F" w:rsidRDefault="00322E9F" w:rsidP="00322E9F">
      <w:pPr>
        <w:spacing w:after="120"/>
        <w:ind w:firstLine="709"/>
        <w:jc w:val="both"/>
      </w:pPr>
      <w:r>
        <w:t>- N</w:t>
      </w:r>
      <w:r w:rsidR="002316A9">
        <w:t xml:space="preserve">guồn ngân sách nhà nước cấp để bảo đảm </w:t>
      </w:r>
      <w:r w:rsidR="002316A9" w:rsidRPr="00585CCF">
        <w:t>hoạt động dịch vụ sự nghiệp công thuộc danh mục dịch vụ sự nghiệp công sử dụng ngân sách nhà nước</w:t>
      </w:r>
      <w:r w:rsidR="002316A9">
        <w:t xml:space="preserve">; </w:t>
      </w:r>
    </w:p>
    <w:p w:rsidR="00994611" w:rsidRDefault="00322E9F" w:rsidP="00322E9F">
      <w:pPr>
        <w:spacing w:after="120"/>
        <w:ind w:firstLine="709"/>
        <w:jc w:val="both"/>
      </w:pPr>
      <w:r>
        <w:t>- N</w:t>
      </w:r>
      <w:r w:rsidR="002316A9">
        <w:t xml:space="preserve">guồn thu hoạt động sự nghiệp; </w:t>
      </w:r>
    </w:p>
    <w:p w:rsidR="00322E9F" w:rsidRDefault="00994611" w:rsidP="00322E9F">
      <w:pPr>
        <w:spacing w:after="120"/>
        <w:ind w:firstLine="709"/>
        <w:jc w:val="both"/>
      </w:pPr>
      <w:r>
        <w:t>- N</w:t>
      </w:r>
      <w:r w:rsidR="002316A9" w:rsidRPr="00021DDE">
        <w:t xml:space="preserve">guồn thu phí được để lại đơn vị sự nghiệp công </w:t>
      </w:r>
      <w:r>
        <w:t xml:space="preserve">lập </w:t>
      </w:r>
      <w:r w:rsidR="002316A9" w:rsidRPr="00021DDE">
        <w:t>để chi theo quy định</w:t>
      </w:r>
      <w:r w:rsidR="002316A9">
        <w:t xml:space="preserve">; </w:t>
      </w:r>
    </w:p>
    <w:p w:rsidR="00994611" w:rsidRDefault="00322E9F" w:rsidP="00322E9F">
      <w:pPr>
        <w:spacing w:after="120"/>
        <w:ind w:firstLine="709"/>
        <w:jc w:val="both"/>
      </w:pPr>
      <w:r>
        <w:t>- N</w:t>
      </w:r>
      <w:r w:rsidR="002316A9">
        <w:t>g</w:t>
      </w:r>
      <w:r w:rsidR="002316A9" w:rsidRPr="00021DDE">
        <w:t>uồn thu khác theo quy định</w:t>
      </w:r>
      <w:r w:rsidR="002316A9">
        <w:t xml:space="preserve">. </w:t>
      </w:r>
    </w:p>
    <w:p w:rsidR="00322E9F" w:rsidRDefault="00322E9F" w:rsidP="00322E9F">
      <w:pPr>
        <w:spacing w:after="120"/>
        <w:ind w:firstLine="709"/>
        <w:jc w:val="both"/>
      </w:pPr>
      <w:r w:rsidRPr="00322E9F">
        <w:rPr>
          <w:i/>
        </w:rPr>
        <w:t xml:space="preserve">(Từ đây gọi </w:t>
      </w:r>
      <w:r w:rsidR="00600196">
        <w:rPr>
          <w:i/>
        </w:rPr>
        <w:t xml:space="preserve">tắt </w:t>
      </w:r>
      <w:r w:rsidRPr="00322E9F">
        <w:rPr>
          <w:i/>
        </w:rPr>
        <w:t>là các nguồn tài chính chi thường xuyên)</w:t>
      </w:r>
    </w:p>
    <w:p w:rsidR="002316A9" w:rsidRDefault="002316A9" w:rsidP="00322E9F">
      <w:pPr>
        <w:spacing w:after="120"/>
        <w:ind w:firstLine="709"/>
        <w:jc w:val="both"/>
      </w:pPr>
      <w:r>
        <w:t xml:space="preserve">Đối với đơn vị tự bảo đảm một phần chi thường xuyên (nhóm III), dự toán kinh phí ngân sách nhà nước hỗ trợ một phần chi thường xuyên được giao cố định </w:t>
      </w:r>
      <w:r w:rsidR="00285F64">
        <w:t xml:space="preserve">trong giai đoạn 05 năm </w:t>
      </w:r>
      <w:r w:rsidRPr="00AE7A7D">
        <w:t xml:space="preserve">căn cứ vào </w:t>
      </w:r>
      <w:r w:rsidR="00B75A33">
        <w:t xml:space="preserve">chênh lệch </w:t>
      </w:r>
      <w:r w:rsidRPr="00AE7A7D">
        <w:t>dự toán thu</w:t>
      </w:r>
      <w:r w:rsidR="00B75A33">
        <w:t xml:space="preserve"> sự nghiệp nhỏ hơn </w:t>
      </w:r>
      <w:r w:rsidRPr="00AE7A7D">
        <w:t>chi năm đầu thời kỳ ổn định</w:t>
      </w:r>
      <w:r>
        <w:t xml:space="preserve">. Trường hợp phát sinh </w:t>
      </w:r>
      <w:r w:rsidRPr="00AE7A7D">
        <w:t>các yếu tố biến động do thay đổi chính sách, chế độ của Nhà nước làm thay đổi dự toán thu, chi c</w:t>
      </w:r>
      <w:r>
        <w:t xml:space="preserve">ủa đơn vị thì mới điều chỉnh, thay đổi dự toán kinh phí ngân sách nhà nước hỗ trợ một phần chi thường xuyên. Như vậy chưa có quy định </w:t>
      </w:r>
      <w:r w:rsidR="002E7EC6">
        <w:t xml:space="preserve">cho phép </w:t>
      </w:r>
      <w:r>
        <w:t xml:space="preserve">điều chỉnh, thay đổi </w:t>
      </w:r>
      <w:r w:rsidR="002E7EC6">
        <w:t xml:space="preserve">dự toán </w:t>
      </w:r>
      <w:r w:rsidR="002E7EC6">
        <w:lastRenderedPageBreak/>
        <w:t xml:space="preserve">kinh phí ngân sách nhà nước hỗ trợ một phần chi thường xuyên </w:t>
      </w:r>
      <w:r>
        <w:t>do các biến động kinh tế - xã hội như thiên tai, dịch bệnh, đứt gãy chuỗi cung ứng, thay đổi công nghệ…</w:t>
      </w:r>
    </w:p>
    <w:p w:rsidR="00BF70F5" w:rsidRDefault="002E7EC6" w:rsidP="00322E9F">
      <w:pPr>
        <w:spacing w:after="120"/>
        <w:ind w:firstLine="709"/>
        <w:jc w:val="both"/>
      </w:pPr>
      <w:r>
        <w:t xml:space="preserve">Từ </w:t>
      </w:r>
      <w:r w:rsidR="002316A9">
        <w:t>các nguồn tài chính nêu trên</w:t>
      </w:r>
      <w:r>
        <w:t>,</w:t>
      </w:r>
      <w:r w:rsidR="002316A9">
        <w:t xml:space="preserve"> </w:t>
      </w:r>
      <w:r>
        <w:t xml:space="preserve">đơn vị sự nghiệp công lập được sử dụng </w:t>
      </w:r>
      <w:r w:rsidR="002316A9">
        <w:t xml:space="preserve">để chi thường xuyên duy trì hoạt động bộ máy của đơn vị. </w:t>
      </w:r>
      <w:r w:rsidR="00BF70F5">
        <w:t xml:space="preserve">Các </w:t>
      </w:r>
      <w:r w:rsidR="002316A9">
        <w:t xml:space="preserve">nội dung chi thường xuyên </w:t>
      </w:r>
      <w:r w:rsidR="00BF70F5">
        <w:t>được quy định tại các nghị định, thông tư nêu trên gồm:</w:t>
      </w:r>
    </w:p>
    <w:p w:rsidR="00BF70F5" w:rsidRDefault="00BF70F5" w:rsidP="00322E9F">
      <w:pPr>
        <w:spacing w:after="120"/>
        <w:ind w:firstLine="709"/>
        <w:jc w:val="both"/>
      </w:pPr>
      <w:r>
        <w:t>-</w:t>
      </w:r>
      <w:r w:rsidR="002316A9">
        <w:t xml:space="preserve"> </w:t>
      </w:r>
      <w:r w:rsidR="002316A9" w:rsidRPr="00733FFE">
        <w:t xml:space="preserve">Chi tiền lương; tiền công; phụ cấp lương; các khoản đóng góp theo chế độ </w:t>
      </w:r>
      <w:r w:rsidR="002E7EC6">
        <w:t>(bảo hiểm xã hội, bảo hiểm y tế, bảo hiểm thất nghiệp, kinh phí công đoàn)</w:t>
      </w:r>
      <w:r w:rsidR="002316A9" w:rsidRPr="00733FFE">
        <w:t xml:space="preserve">; </w:t>
      </w:r>
    </w:p>
    <w:p w:rsidR="00BF70F5" w:rsidRDefault="00BF70F5" w:rsidP="00322E9F">
      <w:pPr>
        <w:spacing w:after="120"/>
        <w:ind w:firstLine="709"/>
        <w:jc w:val="both"/>
      </w:pPr>
      <w:r>
        <w:t xml:space="preserve">- </w:t>
      </w:r>
      <w:r w:rsidRPr="00BF70F5">
        <w:t>Chi thuê chuyên gia, nhà khoa học, người có tài năng đặc biệt</w:t>
      </w:r>
      <w:r>
        <w:t>;</w:t>
      </w:r>
    </w:p>
    <w:p w:rsidR="00BF70F5" w:rsidRDefault="00BF70F5" w:rsidP="00322E9F">
      <w:pPr>
        <w:spacing w:after="120"/>
        <w:ind w:firstLine="709"/>
        <w:jc w:val="both"/>
      </w:pPr>
      <w:r>
        <w:t>- C</w:t>
      </w:r>
      <w:r w:rsidR="002316A9" w:rsidRPr="00733FFE">
        <w:t>hi nghiệp vụ chuyên môn; dịch vụ công cộng; vật tư văn phòng; thông tin, liên lạc, tuyên truyền; công tác phí; khấu hao tài sản cố định; sửa chữa, bảo dưỡng tài sản, máy móc, thiết bị; chi thuê mướn; chi quản lý; các khoản chi khác (kể cả các khoản chi thực hiện nghĩa vụ với ngân sách nhà nước theo quy định)</w:t>
      </w:r>
      <w:r w:rsidR="002316A9">
        <w:t>…</w:t>
      </w:r>
      <w:r w:rsidR="00AE6A88">
        <w:t xml:space="preserve"> </w:t>
      </w:r>
    </w:p>
    <w:p w:rsidR="002316A9" w:rsidRDefault="002316A9" w:rsidP="00322E9F">
      <w:pPr>
        <w:spacing w:after="120"/>
        <w:ind w:firstLine="709"/>
        <w:jc w:val="both"/>
      </w:pPr>
      <w:r w:rsidRPr="00733FFE">
        <w:t xml:space="preserve">Hàng năm, sau khi hạch toán đầy đủ các khoản chi phí, nộp thuế và các khoản nộp ngân sách nhà nước khác (nếu có) theo quy định, phần chênh lệch thu lớn hơn chi thường xuyên (nếu có), đơn vị </w:t>
      </w:r>
      <w:r>
        <w:t>được sử dụng trích lập các quỹ: Quỹ Phát triển hoạt động sự nghiệp,</w:t>
      </w:r>
      <w:r w:rsidRPr="00733FFE">
        <w:t xml:space="preserve"> Quỹ </w:t>
      </w:r>
      <w:r>
        <w:t xml:space="preserve">bổ sung </w:t>
      </w:r>
      <w:r w:rsidRPr="00733FFE">
        <w:t>thu nhập</w:t>
      </w:r>
      <w:r w:rsidR="00222944">
        <w:t xml:space="preserve"> (</w:t>
      </w:r>
      <w:r w:rsidR="00222944" w:rsidRPr="00222944">
        <w:rPr>
          <w:i/>
        </w:rPr>
        <w:t>tên gọi khác là Quỹ dự phòng ổn định thu nhập</w:t>
      </w:r>
      <w:r w:rsidR="00222944">
        <w:t>)</w:t>
      </w:r>
      <w:r>
        <w:t>,</w:t>
      </w:r>
      <w:r w:rsidRPr="00733FFE">
        <w:t xml:space="preserve"> Quỹ khen thưởng</w:t>
      </w:r>
      <w:r>
        <w:t>,</w:t>
      </w:r>
      <w:r w:rsidRPr="00733FFE">
        <w:t xml:space="preserve"> Quỹ phúc lợi</w:t>
      </w:r>
      <w:r>
        <w:t xml:space="preserve"> và Quỹ khác (nếu có). Đồng thời, đối các đơn vị nhóm III hàng năm còn cần phải </w:t>
      </w:r>
      <w:r w:rsidRPr="004249FB">
        <w:t>tạo nguồn để tích lũy thực hiện cải cách chính sách tiền lương</w:t>
      </w:r>
      <w:r>
        <w:t xml:space="preserve"> bằng cách trích tối thiểu 40% số thu phí, thu dịch vụ được để lại theo chế độ sau khi trừ các chi phí phục vụ thu phí, thu dịch vụ.</w:t>
      </w:r>
    </w:p>
    <w:p w:rsidR="002316A9" w:rsidRDefault="002316A9" w:rsidP="00322E9F">
      <w:pPr>
        <w:spacing w:after="120"/>
        <w:ind w:firstLine="709"/>
        <w:jc w:val="both"/>
      </w:pPr>
      <w:r>
        <w:t>Đối với các Quỹ Phát triển hoạt động sự nghiệp,</w:t>
      </w:r>
      <w:r w:rsidRPr="00733FFE">
        <w:t xml:space="preserve"> Quỹ khen thưởng</w:t>
      </w:r>
      <w:r>
        <w:t>,</w:t>
      </w:r>
      <w:r w:rsidRPr="00733FFE">
        <w:t xml:space="preserve"> Quỹ phúc lợi</w:t>
      </w:r>
      <w:r>
        <w:t xml:space="preserve"> và nguồn tích lũy thực hiện cải cách tiền lương nêu trên, các văn bản hiện hành không có quy định cho phép sử dụng các nguồn này để chi hoạt động thường xuyên trong trường hợp các nguồn tài chính chi thường xuyên trong năm bị sụt giảm đột ngột dẫn đến mất cân đối thu – chi. Riêng Quỹ bổ sung thu nhập </w:t>
      </w:r>
      <w:r w:rsidR="00222944">
        <w:t xml:space="preserve">(Quỹ dự phòng ổn định thu nhập) </w:t>
      </w:r>
      <w:r>
        <w:t xml:space="preserve">được dùng để </w:t>
      </w:r>
      <w:r w:rsidRPr="00AB6F2E">
        <w:t>chi bổ sung thu nhập cho người lao động trong trường hợp nguồn thu nhập bị giảm</w:t>
      </w:r>
      <w:r>
        <w:t>, nhưng không có quy định để chi cho các chi phí thường xuyên ngoài lương.</w:t>
      </w:r>
    </w:p>
    <w:p w:rsidR="00C06435" w:rsidRDefault="00C06435" w:rsidP="00322E9F">
      <w:pPr>
        <w:spacing w:after="120"/>
        <w:ind w:firstLine="709"/>
        <w:jc w:val="both"/>
      </w:pPr>
      <w:r>
        <w:t xml:space="preserve">Dịch bệnh COVID-19 và các chính sách giãn cách xã hội đã có những tác động nặng nề đối với bối cảnh kinh tế xã hội tỉnh Đồng Nai năm 2021. Số lượng cá nhân, tổ chức tiếp cận và sử dụng dịch vụ sự nghiệp công lập trên địa bàn tỉnh bị suy giảm mạnh. Do đó nguồn thu sự nghiệp của các đơn vị sự nghiệp công lập, đặc biệt là những đơn vị tự bảo đảm một phần chi thường xuyên, đơn vị tự bảo đảm chi thường xuyên </w:t>
      </w:r>
      <w:r w:rsidR="00044350">
        <w:t>giảm mạnh so với các năm trước.</w:t>
      </w:r>
    </w:p>
    <w:p w:rsidR="007A51A8" w:rsidRDefault="00C06435" w:rsidP="00322E9F">
      <w:pPr>
        <w:spacing w:after="120"/>
        <w:ind w:firstLine="709"/>
        <w:jc w:val="both"/>
      </w:pPr>
      <w:r>
        <w:t xml:space="preserve">Kết thúc năm 2021 </w:t>
      </w:r>
      <w:r w:rsidR="009909AE">
        <w:t xml:space="preserve">theo rà soát của UBND tỉnh, </w:t>
      </w:r>
      <w:r>
        <w:t xml:space="preserve">một số đơn vị không còn </w:t>
      </w:r>
      <w:r w:rsidR="00CA1496">
        <w:t xml:space="preserve">đủ các nguồn tài chính chi thường xuyên </w:t>
      </w:r>
      <w:r>
        <w:t>để chi trả</w:t>
      </w:r>
      <w:r w:rsidR="008047F8">
        <w:t xml:space="preserve"> chi phí hoạt động thường xuyên </w:t>
      </w:r>
      <w:r w:rsidR="008047F8" w:rsidRPr="008047F8">
        <w:rPr>
          <w:i/>
        </w:rPr>
        <w:t>(Chi tiết theo Phụ lục I đính kèm)</w:t>
      </w:r>
      <w:r w:rsidR="008047F8">
        <w:t xml:space="preserve">. </w:t>
      </w:r>
      <w:r w:rsidR="001E0C4F">
        <w:t>Do thiếu hụt nguồn thu</w:t>
      </w:r>
      <w:r>
        <w:t xml:space="preserve">, các đơn vị sự nghiệp công lập không thể thanh toán các khoản </w:t>
      </w:r>
      <w:r w:rsidR="008869CF">
        <w:t xml:space="preserve">chi phí phát sinh </w:t>
      </w:r>
      <w:r>
        <w:t xml:space="preserve">với người lao động và các </w:t>
      </w:r>
      <w:r w:rsidR="001E0C4F">
        <w:t>nhà</w:t>
      </w:r>
      <w:r>
        <w:t xml:space="preserve"> cung cấp dịch vụ. Tuy nhiên đơn vị cũng không thể cắt giảm số lượng </w:t>
      </w:r>
      <w:r>
        <w:lastRenderedPageBreak/>
        <w:t xml:space="preserve">người làm việc hoặc giải thể đơn vị do phải duy trì nhiệm vụ cung cấp dịch vụ sự nghiệp công và các nhiệm vụ chính trị trong và sau thời gian đại dịch. </w:t>
      </w:r>
    </w:p>
    <w:p w:rsidR="00386560" w:rsidRDefault="007A51A8" w:rsidP="00322E9F">
      <w:pPr>
        <w:spacing w:after="120"/>
        <w:ind w:firstLine="709"/>
        <w:jc w:val="both"/>
      </w:pPr>
      <w:r>
        <w:t>Trước các khó khăn đó, m</w:t>
      </w:r>
      <w:r w:rsidR="00C06435">
        <w:t xml:space="preserve">ột số đơn vị </w:t>
      </w:r>
      <w:r w:rsidR="00693938">
        <w:t>như Trung tâm Dịch vụ việc làm, Đài Phát thanh truyền hình Đồng Nai, Trung tâm Tư vấn hỗ trợ doanh nghiệp, Ban quản lý Chợ</w:t>
      </w:r>
      <w:r w:rsidR="009909AE">
        <w:t xml:space="preserve"> Long Khánh, Nhà thiếu nhi tỉnh</w:t>
      </w:r>
      <w:r w:rsidR="00693938">
        <w:t xml:space="preserve"> </w:t>
      </w:r>
      <w:r w:rsidR="00C06435">
        <w:t xml:space="preserve">phải </w:t>
      </w:r>
      <w:r>
        <w:t xml:space="preserve">tạm thời áp dụng </w:t>
      </w:r>
      <w:r w:rsidR="001E0C4F">
        <w:t>các biện</w:t>
      </w:r>
      <w:r>
        <w:t xml:space="preserve"> pháp chưa được quy định trong các văn bản quy phạm pháp luật </w:t>
      </w:r>
      <w:r w:rsidR="00D854E6">
        <w:t>(</w:t>
      </w:r>
      <w:r>
        <w:t>như tạm chi từ quỹ phát triển hoạt động sự nghiệp của đơn vị, tạm ứng từ ngân sách nhà nước cấp tỉnh, tạm ứng từ ngân sách nhà nước cấp huyện, tạm chi từ nguồn trích lập cải cách tiền lương, nợ người lao động</w:t>
      </w:r>
      <w:r w:rsidR="00D854E6">
        <w:t>)</w:t>
      </w:r>
      <w:r w:rsidR="001E0C4F">
        <w:t xml:space="preserve"> để thực hiện các nghĩa vụ thanh toán và tiếp tục duy trì hoạt động của bộ máy. Đến nay, các biện pháp tạm thời nêu trên của đơn vị vẫn th</w:t>
      </w:r>
      <w:r w:rsidR="00D854E6">
        <w:t>iếu cơ sở pháp lý để thực hiện.</w:t>
      </w:r>
    </w:p>
    <w:p w:rsidR="00BC4A59" w:rsidRDefault="00386560" w:rsidP="00322E9F">
      <w:pPr>
        <w:spacing w:after="120"/>
        <w:ind w:firstLine="709"/>
        <w:jc w:val="both"/>
      </w:pPr>
      <w:r>
        <w:t>Sau đó</w:t>
      </w:r>
      <w:r w:rsidRPr="00386560">
        <w:t xml:space="preserve"> </w:t>
      </w:r>
      <w:r>
        <w:t xml:space="preserve">nhằm hỗ trợ các đơn vị sự </w:t>
      </w:r>
      <w:r w:rsidR="00213691">
        <w:t xml:space="preserve">nghiệp </w:t>
      </w:r>
      <w:r>
        <w:t>công lập bị tác động của dịch COVID-19</w:t>
      </w:r>
      <w:r w:rsidRPr="00386560">
        <w:t xml:space="preserve"> </w:t>
      </w:r>
      <w:r w:rsidR="00213691">
        <w:t xml:space="preserve">trong </w:t>
      </w:r>
      <w:r>
        <w:t>năm 2021</w:t>
      </w:r>
      <w:r w:rsidR="001E0C4F">
        <w:t xml:space="preserve">, tại Công văn số </w:t>
      </w:r>
      <w:r w:rsidR="00BC4A59">
        <w:t>14</w:t>
      </w:r>
      <w:r>
        <w:t>406/BTC-HCSN ngày 20/12/2021</w:t>
      </w:r>
      <w:r w:rsidR="001E0C4F">
        <w:t xml:space="preserve">, </w:t>
      </w:r>
      <w:r w:rsidR="00BC4A59">
        <w:t xml:space="preserve">Bộ Tài chính đã </w:t>
      </w:r>
      <w:r w:rsidR="001E0C4F">
        <w:t>hướng dẫn</w:t>
      </w:r>
      <w:r>
        <w:t xml:space="preserve"> </w:t>
      </w:r>
      <w:r w:rsidR="00BC4A59">
        <w:t>“</w:t>
      </w:r>
      <w:r w:rsidR="009909AE">
        <w:rPr>
          <w:i/>
          <w:spacing w:val="-2"/>
          <w:shd w:val="clear" w:color="auto" w:fill="FFFFFF"/>
        </w:rPr>
        <w:t xml:space="preserve">việc ban hành cơ chế, chính sách hỗ trợ các đơn vị sự nghiệp công lập tại địa phương bị giảm nguồn thu, không đảm bảo chi lương và chi hoạt động do ảnh hưởng của dịch COVID-19 thuộc thẩm quyền của Hội đồng nhân dân tỉnh. Bộ Tài chính đề nghị Sở Tài chính Đồng Nai báo cáo </w:t>
      </w:r>
      <w:r w:rsidR="001E0C4F" w:rsidRPr="00BC4A59">
        <w:rPr>
          <w:i/>
        </w:rPr>
        <w:t xml:space="preserve">Ủy ban nhân dân tỉnh Đồng Nai trình Hội đồng nhân dân tỉnh ban hành cơ chế, </w:t>
      </w:r>
      <w:r w:rsidR="00BC4A59" w:rsidRPr="00BC4A59">
        <w:rPr>
          <w:i/>
        </w:rPr>
        <w:t xml:space="preserve">chính sách hỗ trợ các đơn vị sự nghiệp công lập tại địa phương bị giảm nguồn thu do ảnh hưởng của dịch COVID-19 căn cứ vào khả năng cân đối của ngân sách tỉnh và tình hình cụ thể tại địa phương, trong đó trình Hội đồng nhân dân cấp tỉnh xem xét, quyết định về việc tiếp tục thực hiện theo hướng dẫn của Bộ Tài chính tại văn bản số 9070/BTC-HCSN ngày 28/7/2020 về việc đánh giá, báo cáo mức độ ảnh hưởng của dịch Covid-19 đối với </w:t>
      </w:r>
      <w:r w:rsidR="005A6484">
        <w:rPr>
          <w:i/>
        </w:rPr>
        <w:t>các</w:t>
      </w:r>
      <w:r w:rsidR="00BC4A59" w:rsidRPr="00BC4A59">
        <w:rPr>
          <w:i/>
        </w:rPr>
        <w:t xml:space="preserve"> </w:t>
      </w:r>
      <w:r w:rsidR="00FA2D38">
        <w:rPr>
          <w:i/>
        </w:rPr>
        <w:t>đơn vị sự nghiệp công lập (</w:t>
      </w:r>
      <w:r w:rsidR="00BC4A59" w:rsidRPr="00BC4A59">
        <w:rPr>
          <w:i/>
        </w:rPr>
        <w:t>ĐVSNCL</w:t>
      </w:r>
      <w:r w:rsidR="00FA2D38">
        <w:rPr>
          <w:i/>
        </w:rPr>
        <w:t>)</w:t>
      </w:r>
      <w:r w:rsidR="00BC4A59">
        <w:t xml:space="preserve">”. Tại Công văn số 9070/BTC-HCSN ngày 28/7/2020 nêu trên, Bộ Tài chính đã </w:t>
      </w:r>
      <w:r>
        <w:t>cho phép trong năm 2020: (1)</w:t>
      </w:r>
      <w:r w:rsidR="00BC4A59">
        <w:t xml:space="preserve"> </w:t>
      </w:r>
      <w:r>
        <w:t>C</w:t>
      </w:r>
      <w:r w:rsidR="00BC4A59">
        <w:t xml:space="preserve">ác đơn vị sự nghiệp công lập được sử dụng nguồn thu sự nghiệp được để lại, nguồn Quỹ dự phòng ổn định thu nhập, Quỹ khen thưởng, Quỹ phúc lợi, Nguồn kinh phí cải cách tiền lương năm 2019 chuyển sang năm 2020 </w:t>
      </w:r>
      <w:r>
        <w:t>“</w:t>
      </w:r>
      <w:r w:rsidR="00BC4A59" w:rsidRPr="00386560">
        <w:rPr>
          <w:i/>
        </w:rPr>
        <w:t>để ưu tiên chi trả tiền lương theo ngạch, bậc, chức vụ; phụ cấp lương theo chế độ quy định (không kể tiền lương làm việc vào ban đêm, làm thêm giờ và các khoản phụ cấp được quy định bằng mức tuyệt đối) và các khoản đóng góp theo chế độ (bảo hiểm xã hội, bảo hiểm y tế, bảo hiểm thất nghiệp, kinh phí công đoàn) năm 2020 của số lượng người làm việc có mặt trong phạm vi số lượng người làm việc (đối với ĐVSNCL tự đảm bảo một phần chi thường xuyên và ĐVSNCL do ngân sách nhà nước đảm bảo chi thường xuyên), đề án vị trí việc làm (đối với ĐVSNCL tự đảm bảo chi thường xuyên và ĐVSNCL tự đảm bảo chi thường xuyên và chi đầu tư) được cấp có thẩm quyền giao, phê duyệt đầy đủ, kịp thời cho công chức, viên chức của đơn vị</w:t>
      </w:r>
      <w:r w:rsidR="00BC4A59">
        <w:t>”</w:t>
      </w:r>
      <w:r>
        <w:t>; (2) “</w:t>
      </w:r>
      <w:r w:rsidRPr="00386560">
        <w:rPr>
          <w:i/>
        </w:rPr>
        <w:t>Trường hợp các ĐVSNCL tự đảm bảo một phần chi thường xuyên sau khi sử dụng các nguồn tài chính có khó khăn, không đảm bảo chi trả tiền lương theo ngạch, bậc, chức vụ; phụ cấp lương theo chế độ quy định (không kể tiền lương làm việc vào ban đêm, làm thê</w:t>
      </w:r>
      <w:r w:rsidR="009909AE">
        <w:rPr>
          <w:i/>
        </w:rPr>
        <w:t>m</w:t>
      </w:r>
      <w:r w:rsidRPr="00386560">
        <w:rPr>
          <w:i/>
        </w:rPr>
        <w:t xml:space="preserve"> giờ và các khoản phụ cấp được quy định bằng mức tuyệt đối) và các khoản </w:t>
      </w:r>
      <w:r w:rsidR="00213691">
        <w:rPr>
          <w:i/>
        </w:rPr>
        <w:t xml:space="preserve">đóng </w:t>
      </w:r>
      <w:r w:rsidRPr="00386560">
        <w:rPr>
          <w:i/>
        </w:rPr>
        <w:t xml:space="preserve">góp theo chế độ (bảo hiểm xã hội, bảo hiểm y tế, bảo hiểm thất nghiệp, kinh phí công đoàn) </w:t>
      </w:r>
      <w:r w:rsidRPr="00386560">
        <w:rPr>
          <w:i/>
        </w:rPr>
        <w:lastRenderedPageBreak/>
        <w:t>năm 2020 của số lượng người làm việc có mặt theo hướng dẫn tại khoản 1 nêu trên, báo cáo Bộ, cơ quan trung ương và Ủy ban nhân dân cấp tỉnh, thành phố trực thuộc Trung ương để xử lý theo chế độ quy định. Trên cơ sở đó, đề nghị các địa phương chủ động sử dụng nguồn ngân sách địa phương và nguồn tài chính hợp pháp khác để hỗ trợ các đơn vị theo quy định về phân cấp ngân sách hiện hành</w:t>
      </w:r>
      <w:r>
        <w:t>”.</w:t>
      </w:r>
    </w:p>
    <w:p w:rsidR="00386560" w:rsidRDefault="00386560" w:rsidP="00322E9F">
      <w:pPr>
        <w:widowControl w:val="0"/>
        <w:tabs>
          <w:tab w:val="right" w:leader="dot" w:pos="7920"/>
        </w:tabs>
        <w:spacing w:after="120"/>
        <w:ind w:firstLine="709"/>
        <w:jc w:val="both"/>
      </w:pPr>
      <w:r>
        <w:t xml:space="preserve">Như vậy theo ý kiến của Bộ Tài chính tại </w:t>
      </w:r>
      <w:r>
        <w:rPr>
          <w:shd w:val="clear" w:color="auto" w:fill="FFFFFF"/>
        </w:rPr>
        <w:t>Công văn số 9070/BTC-HCSN ngày 28/7/2020</w:t>
      </w:r>
      <w:r>
        <w:rPr>
          <w:iCs/>
          <w:shd w:val="clear" w:color="auto" w:fill="FFFFFF"/>
        </w:rPr>
        <w:t xml:space="preserve"> và Công văn </w:t>
      </w:r>
      <w:r>
        <w:rPr>
          <w:shd w:val="clear" w:color="auto" w:fill="FFFFFF"/>
        </w:rPr>
        <w:t xml:space="preserve">số 14406/BTC-HCSN ngày 20/12/2021, </w:t>
      </w:r>
      <w:r w:rsidR="00071D7C">
        <w:rPr>
          <w:shd w:val="clear" w:color="auto" w:fill="FFFFFF"/>
        </w:rPr>
        <w:t>các giải pháp</w:t>
      </w:r>
      <w:r w:rsidR="00AE6A88">
        <w:rPr>
          <w:shd w:val="clear" w:color="auto" w:fill="FFFFFF"/>
        </w:rPr>
        <w:t xml:space="preserve"> sau đây</w:t>
      </w:r>
      <w:r w:rsidR="00AE6A88" w:rsidRPr="00AE6A88">
        <w:t xml:space="preserve"> </w:t>
      </w:r>
      <w:r w:rsidR="00AE6A88">
        <w:t>cần được Hội đồng nhân dân tỉnh xem xét, ban hành</w:t>
      </w:r>
      <w:r w:rsidR="00071D7C">
        <w:rPr>
          <w:shd w:val="clear" w:color="auto" w:fill="FFFFFF"/>
        </w:rPr>
        <w:t xml:space="preserve">: (1) </w:t>
      </w:r>
      <w:r w:rsidR="00AE6A88">
        <w:rPr>
          <w:shd w:val="clear" w:color="auto" w:fill="FFFFFF"/>
        </w:rPr>
        <w:t xml:space="preserve">ưu tiên </w:t>
      </w:r>
      <w:r>
        <w:rPr>
          <w:shd w:val="clear" w:color="auto" w:fill="FFFFFF"/>
        </w:rPr>
        <w:t xml:space="preserve">sử dụng </w:t>
      </w:r>
      <w:r>
        <w:t>nguồn Quỹ dự phòng ổn định thu nhập</w:t>
      </w:r>
      <w:r w:rsidR="006971BA">
        <w:t xml:space="preserve"> (Quỹ bổ sung thu nhập)</w:t>
      </w:r>
      <w:r>
        <w:t>, Quỹ khen thưởng, Quỹ phúc lợi, Nguồn kinh phí cải cách tiền lương năm 2020 chuyển sang năm 2021</w:t>
      </w:r>
      <w:r w:rsidR="00BD010A">
        <w:t xml:space="preserve"> (</w:t>
      </w:r>
      <w:r w:rsidR="00BD010A" w:rsidRPr="00BD010A">
        <w:rPr>
          <w:i/>
        </w:rPr>
        <w:t>sau đây gọi tắt là nguồn vốn tích lũy của đơn vị</w:t>
      </w:r>
      <w:r w:rsidR="00BD010A">
        <w:t>)</w:t>
      </w:r>
      <w:r>
        <w:t xml:space="preserve"> để chi trả tiền lương và </w:t>
      </w:r>
      <w:r w:rsidR="00071D7C">
        <w:t xml:space="preserve">(2) </w:t>
      </w:r>
      <w:r>
        <w:t xml:space="preserve">sử dụng ngân sách địa phương để tiếp tục hỗ trợ </w:t>
      </w:r>
      <w:r w:rsidR="00071D7C">
        <w:t>chi thường xuyên sau khi đơn vị sự nghiệp công lập đã sử dụng các nguồn tài chính</w:t>
      </w:r>
      <w:r w:rsidR="00F765FC">
        <w:rPr>
          <w:rStyle w:val="FootnoteReference"/>
        </w:rPr>
        <w:footnoteReference w:id="1"/>
      </w:r>
      <w:r w:rsidR="00071D7C">
        <w:t xml:space="preserve"> mà vẫn không bảo đảm được </w:t>
      </w:r>
      <w:r w:rsidR="00CA2E46">
        <w:t>c</w:t>
      </w:r>
      <w:r w:rsidR="00071D7C">
        <w:t>hi thườn</w:t>
      </w:r>
      <w:r w:rsidR="00AE6A88">
        <w:t>g xuyên.</w:t>
      </w:r>
    </w:p>
    <w:p w:rsidR="0066343D" w:rsidRDefault="00E0323B" w:rsidP="00F1477B">
      <w:pPr>
        <w:widowControl w:val="0"/>
        <w:tabs>
          <w:tab w:val="right" w:leader="dot" w:pos="7920"/>
        </w:tabs>
        <w:ind w:firstLine="709"/>
        <w:jc w:val="both"/>
      </w:pPr>
      <w:r>
        <w:t xml:space="preserve">Trên địa bàn tỉnh Đồng Nai, UBND tỉnh đã rà soát các đơn vị </w:t>
      </w:r>
      <w:r w:rsidRPr="00E0323B">
        <w:t xml:space="preserve">sự nghiệp công lập </w:t>
      </w:r>
      <w:r>
        <w:t xml:space="preserve">gặp khó khăn do </w:t>
      </w:r>
      <w:r w:rsidRPr="00E0323B">
        <w:t>dịch COVID-19</w:t>
      </w:r>
      <w:r>
        <w:t xml:space="preserve"> dẫn đến </w:t>
      </w:r>
      <w:r w:rsidRPr="00E0323B">
        <w:t>thu không đủ chi</w:t>
      </w:r>
      <w:r>
        <w:t xml:space="preserve">, mất khả năng tự bảo đảm chi thường xuyên năm 2021. Kết quả cho thấy phát sinh </w:t>
      </w:r>
      <w:r w:rsidR="00DA1002">
        <w:t>0</w:t>
      </w:r>
      <w:r w:rsidR="00A1224B">
        <w:t>5</w:t>
      </w:r>
      <w:r w:rsidR="00AE6A88">
        <w:t xml:space="preserve"> </w:t>
      </w:r>
      <w:r>
        <w:t>đơn vị thu không đủ chi năm 2021</w:t>
      </w:r>
      <w:r w:rsidR="00A04147">
        <w:t xml:space="preserve"> </w:t>
      </w:r>
      <w:r>
        <w:t xml:space="preserve">gồm: Đài Phát thanh Truyền hình Đồng Nai, Trung tâm Tư vấn hỗ trợ doanh nghiệp tỉnh Đồng Nai, </w:t>
      </w:r>
      <w:r w:rsidR="00696456">
        <w:t>Trung tâm Dịch vụ việc làm tỉnh Đồng Nai, Nhà Thiếu nhi tỉnh Đồng Nai, Ban Q</w:t>
      </w:r>
      <w:r w:rsidR="00AE6A88">
        <w:t>uản lý chợ thành phố Long Khánh</w:t>
      </w:r>
      <w:r w:rsidR="003F60EA">
        <w:t>. Tình hình thu chi năm 2021 của các đơn vị này</w:t>
      </w:r>
      <w:r w:rsidR="00A04147">
        <w:t xml:space="preserve"> cụ thể như sau:</w:t>
      </w:r>
    </w:p>
    <w:tbl>
      <w:tblPr>
        <w:tblStyle w:val="TableGrid"/>
        <w:tblW w:w="0" w:type="auto"/>
        <w:tblLook w:val="04A0" w:firstRow="1" w:lastRow="0" w:firstColumn="1" w:lastColumn="0" w:noHBand="0" w:noVBand="1"/>
      </w:tblPr>
      <w:tblGrid>
        <w:gridCol w:w="577"/>
        <w:gridCol w:w="1951"/>
        <w:gridCol w:w="1427"/>
        <w:gridCol w:w="1427"/>
        <w:gridCol w:w="1036"/>
        <w:gridCol w:w="1201"/>
        <w:gridCol w:w="1443"/>
      </w:tblGrid>
      <w:tr w:rsidR="00F0420C" w:rsidRPr="00F0420C" w:rsidTr="001D5DA8">
        <w:trPr>
          <w:trHeight w:val="138"/>
          <w:tblHeader/>
        </w:trPr>
        <w:tc>
          <w:tcPr>
            <w:tcW w:w="577" w:type="dxa"/>
            <w:vMerge w:val="restart"/>
          </w:tcPr>
          <w:p w:rsidR="00F0420C" w:rsidRPr="00F0420C" w:rsidRDefault="00F0420C" w:rsidP="00F1477B">
            <w:pPr>
              <w:widowControl w:val="0"/>
              <w:tabs>
                <w:tab w:val="right" w:leader="dot" w:pos="7920"/>
              </w:tabs>
              <w:jc w:val="center"/>
              <w:rPr>
                <w:b/>
                <w:sz w:val="24"/>
                <w:szCs w:val="24"/>
              </w:rPr>
            </w:pPr>
            <w:r w:rsidRPr="00F0420C">
              <w:rPr>
                <w:b/>
                <w:sz w:val="24"/>
                <w:szCs w:val="24"/>
              </w:rPr>
              <w:t>TT</w:t>
            </w:r>
          </w:p>
        </w:tc>
        <w:tc>
          <w:tcPr>
            <w:tcW w:w="1951" w:type="dxa"/>
            <w:vMerge w:val="restart"/>
          </w:tcPr>
          <w:p w:rsidR="00F0420C" w:rsidRPr="00F0420C" w:rsidRDefault="00F0420C" w:rsidP="00F1477B">
            <w:pPr>
              <w:widowControl w:val="0"/>
              <w:tabs>
                <w:tab w:val="right" w:leader="dot" w:pos="7920"/>
              </w:tabs>
              <w:jc w:val="center"/>
              <w:rPr>
                <w:b/>
                <w:sz w:val="24"/>
                <w:szCs w:val="24"/>
              </w:rPr>
            </w:pPr>
            <w:r w:rsidRPr="00F0420C">
              <w:rPr>
                <w:b/>
                <w:sz w:val="24"/>
                <w:szCs w:val="24"/>
              </w:rPr>
              <w:t>Tên đơn vị</w:t>
            </w:r>
          </w:p>
        </w:tc>
        <w:tc>
          <w:tcPr>
            <w:tcW w:w="1427" w:type="dxa"/>
            <w:vMerge w:val="restart"/>
          </w:tcPr>
          <w:p w:rsidR="00F0420C" w:rsidRPr="00F0420C" w:rsidRDefault="00F0420C" w:rsidP="00F1477B">
            <w:pPr>
              <w:widowControl w:val="0"/>
              <w:tabs>
                <w:tab w:val="right" w:leader="dot" w:pos="7920"/>
              </w:tabs>
              <w:jc w:val="center"/>
              <w:rPr>
                <w:b/>
                <w:sz w:val="24"/>
                <w:szCs w:val="24"/>
              </w:rPr>
            </w:pPr>
            <w:r w:rsidRPr="00F0420C">
              <w:rPr>
                <w:b/>
                <w:sz w:val="24"/>
                <w:szCs w:val="24"/>
              </w:rPr>
              <w:t>Nguồn tài chính chi thường xuyên năm 2021</w:t>
            </w:r>
          </w:p>
          <w:p w:rsidR="00F0420C" w:rsidRPr="00F0420C" w:rsidRDefault="00F0420C" w:rsidP="00F1477B">
            <w:pPr>
              <w:widowControl w:val="0"/>
              <w:tabs>
                <w:tab w:val="right" w:leader="dot" w:pos="7920"/>
              </w:tabs>
              <w:jc w:val="center"/>
              <w:rPr>
                <w:sz w:val="24"/>
                <w:szCs w:val="24"/>
              </w:rPr>
            </w:pPr>
            <w:r w:rsidRPr="00F0420C">
              <w:rPr>
                <w:sz w:val="24"/>
                <w:szCs w:val="24"/>
              </w:rPr>
              <w:t>(triệu đồng)</w:t>
            </w:r>
          </w:p>
        </w:tc>
        <w:tc>
          <w:tcPr>
            <w:tcW w:w="1427" w:type="dxa"/>
            <w:vMerge w:val="restart"/>
          </w:tcPr>
          <w:p w:rsidR="00F0420C" w:rsidRPr="00F0420C" w:rsidRDefault="00F0420C" w:rsidP="00F1477B">
            <w:pPr>
              <w:widowControl w:val="0"/>
              <w:tabs>
                <w:tab w:val="right" w:leader="dot" w:pos="7920"/>
              </w:tabs>
              <w:jc w:val="center"/>
              <w:rPr>
                <w:b/>
                <w:sz w:val="24"/>
                <w:szCs w:val="24"/>
              </w:rPr>
            </w:pPr>
            <w:r w:rsidRPr="00F0420C">
              <w:rPr>
                <w:b/>
                <w:sz w:val="24"/>
                <w:szCs w:val="24"/>
              </w:rPr>
              <w:t>Chi thường xuyên năm 2021</w:t>
            </w:r>
          </w:p>
          <w:p w:rsidR="00F0420C" w:rsidRPr="00F0420C" w:rsidRDefault="00F0420C" w:rsidP="00F1477B">
            <w:pPr>
              <w:widowControl w:val="0"/>
              <w:tabs>
                <w:tab w:val="right" w:leader="dot" w:pos="7920"/>
              </w:tabs>
              <w:jc w:val="center"/>
              <w:rPr>
                <w:sz w:val="24"/>
                <w:szCs w:val="24"/>
              </w:rPr>
            </w:pPr>
            <w:r w:rsidRPr="00F0420C">
              <w:rPr>
                <w:sz w:val="24"/>
                <w:szCs w:val="24"/>
              </w:rPr>
              <w:t>(triệu đồng)</w:t>
            </w:r>
          </w:p>
        </w:tc>
        <w:tc>
          <w:tcPr>
            <w:tcW w:w="2237" w:type="dxa"/>
            <w:gridSpan w:val="2"/>
          </w:tcPr>
          <w:p w:rsidR="00F0420C" w:rsidRPr="00F0420C" w:rsidRDefault="00F0420C" w:rsidP="00F1477B">
            <w:pPr>
              <w:widowControl w:val="0"/>
              <w:tabs>
                <w:tab w:val="right" w:leader="dot" w:pos="7920"/>
              </w:tabs>
              <w:jc w:val="center"/>
              <w:rPr>
                <w:sz w:val="24"/>
                <w:szCs w:val="24"/>
              </w:rPr>
            </w:pPr>
            <w:r w:rsidRPr="00F0420C">
              <w:rPr>
                <w:sz w:val="24"/>
                <w:szCs w:val="24"/>
              </w:rPr>
              <w:t>Trong đó:</w:t>
            </w:r>
          </w:p>
        </w:tc>
        <w:tc>
          <w:tcPr>
            <w:tcW w:w="1443" w:type="dxa"/>
            <w:vMerge w:val="restart"/>
          </w:tcPr>
          <w:p w:rsidR="00F0420C" w:rsidRPr="00F0420C" w:rsidRDefault="00F0420C" w:rsidP="00F1477B">
            <w:pPr>
              <w:widowControl w:val="0"/>
              <w:tabs>
                <w:tab w:val="right" w:leader="dot" w:pos="7920"/>
              </w:tabs>
              <w:jc w:val="center"/>
              <w:rPr>
                <w:b/>
                <w:sz w:val="24"/>
                <w:szCs w:val="24"/>
              </w:rPr>
            </w:pPr>
            <w:r w:rsidRPr="00F0420C">
              <w:rPr>
                <w:b/>
                <w:sz w:val="24"/>
                <w:szCs w:val="24"/>
              </w:rPr>
              <w:t>Số kinh phí thiếu hụt</w:t>
            </w:r>
          </w:p>
          <w:p w:rsidR="00F0420C" w:rsidRPr="00F0420C" w:rsidRDefault="00F0420C" w:rsidP="00F1477B">
            <w:pPr>
              <w:widowControl w:val="0"/>
              <w:tabs>
                <w:tab w:val="right" w:leader="dot" w:pos="7920"/>
              </w:tabs>
              <w:jc w:val="center"/>
              <w:rPr>
                <w:sz w:val="24"/>
                <w:szCs w:val="24"/>
              </w:rPr>
            </w:pPr>
            <w:r w:rsidRPr="00F0420C">
              <w:rPr>
                <w:sz w:val="24"/>
                <w:szCs w:val="24"/>
              </w:rPr>
              <w:t>(triệu đồng)</w:t>
            </w:r>
          </w:p>
        </w:tc>
      </w:tr>
      <w:tr w:rsidR="00F0420C" w:rsidRPr="00F0420C" w:rsidTr="00F0420C">
        <w:trPr>
          <w:trHeight w:val="138"/>
          <w:tblHeader/>
        </w:trPr>
        <w:tc>
          <w:tcPr>
            <w:tcW w:w="577" w:type="dxa"/>
            <w:vMerge/>
          </w:tcPr>
          <w:p w:rsidR="00F0420C" w:rsidRPr="00F0420C" w:rsidRDefault="00F0420C" w:rsidP="00F1477B">
            <w:pPr>
              <w:widowControl w:val="0"/>
              <w:tabs>
                <w:tab w:val="right" w:leader="dot" w:pos="7920"/>
              </w:tabs>
              <w:jc w:val="center"/>
              <w:rPr>
                <w:b/>
                <w:sz w:val="24"/>
                <w:szCs w:val="24"/>
              </w:rPr>
            </w:pPr>
          </w:p>
        </w:tc>
        <w:tc>
          <w:tcPr>
            <w:tcW w:w="1951" w:type="dxa"/>
            <w:vMerge/>
          </w:tcPr>
          <w:p w:rsidR="00F0420C" w:rsidRPr="00F0420C" w:rsidRDefault="00F0420C" w:rsidP="00F1477B">
            <w:pPr>
              <w:widowControl w:val="0"/>
              <w:tabs>
                <w:tab w:val="right" w:leader="dot" w:pos="7920"/>
              </w:tabs>
              <w:jc w:val="center"/>
              <w:rPr>
                <w:b/>
                <w:sz w:val="24"/>
                <w:szCs w:val="24"/>
              </w:rPr>
            </w:pPr>
          </w:p>
        </w:tc>
        <w:tc>
          <w:tcPr>
            <w:tcW w:w="1427" w:type="dxa"/>
            <w:vMerge/>
          </w:tcPr>
          <w:p w:rsidR="00F0420C" w:rsidRPr="00F0420C" w:rsidRDefault="00F0420C" w:rsidP="00F1477B">
            <w:pPr>
              <w:widowControl w:val="0"/>
              <w:tabs>
                <w:tab w:val="right" w:leader="dot" w:pos="7920"/>
              </w:tabs>
              <w:jc w:val="center"/>
              <w:rPr>
                <w:b/>
                <w:sz w:val="24"/>
                <w:szCs w:val="24"/>
              </w:rPr>
            </w:pPr>
          </w:p>
        </w:tc>
        <w:tc>
          <w:tcPr>
            <w:tcW w:w="1427" w:type="dxa"/>
            <w:vMerge/>
          </w:tcPr>
          <w:p w:rsidR="00F0420C" w:rsidRPr="00F0420C" w:rsidRDefault="00F0420C" w:rsidP="00F1477B">
            <w:pPr>
              <w:widowControl w:val="0"/>
              <w:tabs>
                <w:tab w:val="right" w:leader="dot" w:pos="7920"/>
              </w:tabs>
              <w:jc w:val="center"/>
              <w:rPr>
                <w:b/>
                <w:sz w:val="24"/>
                <w:szCs w:val="24"/>
              </w:rPr>
            </w:pPr>
          </w:p>
        </w:tc>
        <w:tc>
          <w:tcPr>
            <w:tcW w:w="1036" w:type="dxa"/>
          </w:tcPr>
          <w:p w:rsidR="00F0420C" w:rsidRPr="00F0420C" w:rsidRDefault="00F0420C" w:rsidP="00F1477B">
            <w:pPr>
              <w:widowControl w:val="0"/>
              <w:tabs>
                <w:tab w:val="right" w:leader="dot" w:pos="7920"/>
              </w:tabs>
              <w:jc w:val="center"/>
              <w:rPr>
                <w:b/>
                <w:sz w:val="24"/>
                <w:szCs w:val="24"/>
              </w:rPr>
            </w:pPr>
            <w:r>
              <w:rPr>
                <w:b/>
                <w:sz w:val="24"/>
                <w:szCs w:val="24"/>
              </w:rPr>
              <w:t>Chi tiền lương</w:t>
            </w:r>
          </w:p>
        </w:tc>
        <w:tc>
          <w:tcPr>
            <w:tcW w:w="1201" w:type="dxa"/>
          </w:tcPr>
          <w:p w:rsidR="00F0420C" w:rsidRPr="00F0420C" w:rsidRDefault="00F0420C" w:rsidP="00F0420C">
            <w:pPr>
              <w:widowControl w:val="0"/>
              <w:tabs>
                <w:tab w:val="right" w:leader="dot" w:pos="7920"/>
              </w:tabs>
              <w:jc w:val="center"/>
              <w:rPr>
                <w:b/>
                <w:sz w:val="24"/>
                <w:szCs w:val="24"/>
              </w:rPr>
            </w:pPr>
            <w:r>
              <w:rPr>
                <w:b/>
                <w:sz w:val="24"/>
                <w:szCs w:val="24"/>
              </w:rPr>
              <w:t>Chi thường xuyên ngoài lương</w:t>
            </w:r>
            <w:r w:rsidR="003A2337">
              <w:rPr>
                <w:rStyle w:val="FootnoteReference"/>
                <w:b/>
                <w:sz w:val="24"/>
                <w:szCs w:val="24"/>
              </w:rPr>
              <w:footnoteReference w:id="2"/>
            </w:r>
          </w:p>
        </w:tc>
        <w:tc>
          <w:tcPr>
            <w:tcW w:w="1443" w:type="dxa"/>
            <w:vMerge/>
          </w:tcPr>
          <w:p w:rsidR="00F0420C" w:rsidRPr="00F0420C" w:rsidRDefault="00F0420C" w:rsidP="00F1477B">
            <w:pPr>
              <w:widowControl w:val="0"/>
              <w:tabs>
                <w:tab w:val="right" w:leader="dot" w:pos="7920"/>
              </w:tabs>
              <w:jc w:val="center"/>
              <w:rPr>
                <w:b/>
                <w:sz w:val="24"/>
                <w:szCs w:val="24"/>
              </w:rPr>
            </w:pPr>
          </w:p>
        </w:tc>
      </w:tr>
      <w:tr w:rsidR="00F0420C" w:rsidRPr="00F0420C" w:rsidTr="00F0420C">
        <w:trPr>
          <w:tblHeader/>
        </w:trPr>
        <w:tc>
          <w:tcPr>
            <w:tcW w:w="577" w:type="dxa"/>
          </w:tcPr>
          <w:p w:rsidR="00F0420C" w:rsidRPr="00F0420C" w:rsidRDefault="00F0420C" w:rsidP="00F1477B">
            <w:pPr>
              <w:widowControl w:val="0"/>
              <w:tabs>
                <w:tab w:val="right" w:leader="dot" w:pos="7920"/>
              </w:tabs>
              <w:jc w:val="center"/>
              <w:rPr>
                <w:sz w:val="24"/>
                <w:szCs w:val="24"/>
              </w:rPr>
            </w:pPr>
            <w:r w:rsidRPr="00F0420C">
              <w:rPr>
                <w:sz w:val="24"/>
                <w:szCs w:val="24"/>
              </w:rPr>
              <w:t>(A)</w:t>
            </w:r>
          </w:p>
        </w:tc>
        <w:tc>
          <w:tcPr>
            <w:tcW w:w="1951" w:type="dxa"/>
          </w:tcPr>
          <w:p w:rsidR="00F0420C" w:rsidRPr="00F0420C" w:rsidRDefault="00F0420C" w:rsidP="00F1477B">
            <w:pPr>
              <w:widowControl w:val="0"/>
              <w:tabs>
                <w:tab w:val="right" w:leader="dot" w:pos="7920"/>
              </w:tabs>
              <w:jc w:val="center"/>
              <w:rPr>
                <w:sz w:val="24"/>
                <w:szCs w:val="24"/>
              </w:rPr>
            </w:pPr>
            <w:r w:rsidRPr="00F0420C">
              <w:rPr>
                <w:sz w:val="24"/>
                <w:szCs w:val="24"/>
              </w:rPr>
              <w:t>(B)</w:t>
            </w:r>
          </w:p>
        </w:tc>
        <w:tc>
          <w:tcPr>
            <w:tcW w:w="1427" w:type="dxa"/>
          </w:tcPr>
          <w:p w:rsidR="00F0420C" w:rsidRPr="00F0420C" w:rsidRDefault="00F0420C" w:rsidP="00F1477B">
            <w:pPr>
              <w:widowControl w:val="0"/>
              <w:tabs>
                <w:tab w:val="right" w:leader="dot" w:pos="7920"/>
              </w:tabs>
              <w:jc w:val="center"/>
              <w:rPr>
                <w:sz w:val="24"/>
                <w:szCs w:val="24"/>
              </w:rPr>
            </w:pPr>
            <w:r w:rsidRPr="00F0420C">
              <w:rPr>
                <w:sz w:val="24"/>
                <w:szCs w:val="24"/>
              </w:rPr>
              <w:t>(1)</w:t>
            </w:r>
          </w:p>
        </w:tc>
        <w:tc>
          <w:tcPr>
            <w:tcW w:w="1427" w:type="dxa"/>
          </w:tcPr>
          <w:p w:rsidR="00F0420C" w:rsidRPr="00F0420C" w:rsidRDefault="00F0420C" w:rsidP="00F1477B">
            <w:pPr>
              <w:widowControl w:val="0"/>
              <w:tabs>
                <w:tab w:val="right" w:leader="dot" w:pos="7920"/>
              </w:tabs>
              <w:jc w:val="center"/>
              <w:rPr>
                <w:sz w:val="24"/>
                <w:szCs w:val="24"/>
              </w:rPr>
            </w:pPr>
            <w:r w:rsidRPr="00F0420C">
              <w:rPr>
                <w:sz w:val="24"/>
                <w:szCs w:val="24"/>
              </w:rPr>
              <w:t>(2)</w:t>
            </w:r>
          </w:p>
        </w:tc>
        <w:tc>
          <w:tcPr>
            <w:tcW w:w="1036" w:type="dxa"/>
          </w:tcPr>
          <w:p w:rsidR="00F0420C" w:rsidRPr="00F0420C" w:rsidRDefault="00F0420C" w:rsidP="00F1477B">
            <w:pPr>
              <w:widowControl w:val="0"/>
              <w:tabs>
                <w:tab w:val="right" w:leader="dot" w:pos="7920"/>
              </w:tabs>
              <w:jc w:val="center"/>
              <w:rPr>
                <w:sz w:val="24"/>
                <w:szCs w:val="24"/>
              </w:rPr>
            </w:pPr>
            <w:r>
              <w:rPr>
                <w:sz w:val="24"/>
                <w:szCs w:val="24"/>
              </w:rPr>
              <w:t>(3)</w:t>
            </w:r>
          </w:p>
        </w:tc>
        <w:tc>
          <w:tcPr>
            <w:tcW w:w="1201" w:type="dxa"/>
          </w:tcPr>
          <w:p w:rsidR="00F0420C" w:rsidRPr="00F0420C" w:rsidRDefault="00F0420C" w:rsidP="00F1477B">
            <w:pPr>
              <w:widowControl w:val="0"/>
              <w:tabs>
                <w:tab w:val="right" w:leader="dot" w:pos="7920"/>
              </w:tabs>
              <w:jc w:val="center"/>
              <w:rPr>
                <w:sz w:val="24"/>
                <w:szCs w:val="24"/>
              </w:rPr>
            </w:pPr>
            <w:r>
              <w:rPr>
                <w:sz w:val="24"/>
                <w:szCs w:val="24"/>
              </w:rPr>
              <w:t>(4)</w:t>
            </w:r>
          </w:p>
        </w:tc>
        <w:tc>
          <w:tcPr>
            <w:tcW w:w="1443" w:type="dxa"/>
          </w:tcPr>
          <w:p w:rsidR="00F0420C" w:rsidRPr="00F0420C" w:rsidRDefault="00F0420C" w:rsidP="00F0420C">
            <w:pPr>
              <w:widowControl w:val="0"/>
              <w:tabs>
                <w:tab w:val="right" w:leader="dot" w:pos="7920"/>
              </w:tabs>
              <w:jc w:val="center"/>
              <w:rPr>
                <w:sz w:val="24"/>
                <w:szCs w:val="24"/>
              </w:rPr>
            </w:pPr>
            <w:r w:rsidRPr="00F0420C">
              <w:rPr>
                <w:sz w:val="24"/>
                <w:szCs w:val="24"/>
              </w:rPr>
              <w:t>(</w:t>
            </w:r>
            <w:r>
              <w:rPr>
                <w:sz w:val="24"/>
                <w:szCs w:val="24"/>
              </w:rPr>
              <w:t>5</w:t>
            </w:r>
            <w:r w:rsidRPr="00F0420C">
              <w:rPr>
                <w:sz w:val="24"/>
                <w:szCs w:val="24"/>
              </w:rPr>
              <w:t>)=(2)-(1)</w:t>
            </w:r>
          </w:p>
        </w:tc>
      </w:tr>
      <w:tr w:rsidR="00F0420C" w:rsidRPr="00F0420C" w:rsidTr="001D5DA8">
        <w:tc>
          <w:tcPr>
            <w:tcW w:w="577" w:type="dxa"/>
          </w:tcPr>
          <w:p w:rsidR="00F0420C" w:rsidRPr="00F0420C" w:rsidRDefault="00F0420C" w:rsidP="00F0420C">
            <w:pPr>
              <w:widowControl w:val="0"/>
              <w:tabs>
                <w:tab w:val="right" w:leader="dot" w:pos="7920"/>
              </w:tabs>
              <w:jc w:val="both"/>
              <w:rPr>
                <w:sz w:val="24"/>
                <w:szCs w:val="24"/>
              </w:rPr>
            </w:pPr>
            <w:r w:rsidRPr="00F0420C">
              <w:rPr>
                <w:sz w:val="24"/>
                <w:szCs w:val="24"/>
              </w:rPr>
              <w:t>1</w:t>
            </w:r>
          </w:p>
        </w:tc>
        <w:tc>
          <w:tcPr>
            <w:tcW w:w="1951" w:type="dxa"/>
          </w:tcPr>
          <w:p w:rsidR="00F0420C" w:rsidRPr="00F0420C" w:rsidRDefault="00F0420C" w:rsidP="00F0420C">
            <w:pPr>
              <w:widowControl w:val="0"/>
              <w:tabs>
                <w:tab w:val="right" w:leader="dot" w:pos="7920"/>
              </w:tabs>
              <w:jc w:val="both"/>
              <w:rPr>
                <w:sz w:val="24"/>
                <w:szCs w:val="24"/>
              </w:rPr>
            </w:pPr>
            <w:r w:rsidRPr="00F0420C">
              <w:rPr>
                <w:sz w:val="24"/>
                <w:szCs w:val="24"/>
              </w:rPr>
              <w:t>Đài Phát thanh Truyền hình Đồng Nai</w:t>
            </w:r>
          </w:p>
        </w:tc>
        <w:tc>
          <w:tcPr>
            <w:tcW w:w="1427" w:type="dxa"/>
            <w:vAlign w:val="bottom"/>
          </w:tcPr>
          <w:p w:rsidR="00F0420C" w:rsidRPr="00F0420C" w:rsidRDefault="00F0420C" w:rsidP="00F0420C">
            <w:pPr>
              <w:jc w:val="right"/>
              <w:rPr>
                <w:sz w:val="24"/>
                <w:szCs w:val="24"/>
              </w:rPr>
            </w:pPr>
            <w:r w:rsidRPr="00F0420C">
              <w:rPr>
                <w:sz w:val="24"/>
                <w:szCs w:val="24"/>
              </w:rPr>
              <w:t xml:space="preserve"> 26.866 </w:t>
            </w:r>
          </w:p>
        </w:tc>
        <w:tc>
          <w:tcPr>
            <w:tcW w:w="1427" w:type="dxa"/>
            <w:vAlign w:val="bottom"/>
          </w:tcPr>
          <w:p w:rsidR="00F0420C" w:rsidRPr="00F0420C" w:rsidRDefault="00F0420C" w:rsidP="00F0420C">
            <w:pPr>
              <w:jc w:val="right"/>
              <w:rPr>
                <w:sz w:val="24"/>
                <w:szCs w:val="24"/>
              </w:rPr>
            </w:pPr>
            <w:r w:rsidRPr="00F0420C">
              <w:rPr>
                <w:sz w:val="24"/>
                <w:szCs w:val="24"/>
              </w:rPr>
              <w:t xml:space="preserve"> 43.831 </w:t>
            </w:r>
          </w:p>
        </w:tc>
        <w:tc>
          <w:tcPr>
            <w:tcW w:w="1036" w:type="dxa"/>
            <w:vAlign w:val="bottom"/>
          </w:tcPr>
          <w:p w:rsidR="00F0420C" w:rsidRPr="00F0420C" w:rsidRDefault="00F0420C" w:rsidP="00F0420C">
            <w:pPr>
              <w:jc w:val="right"/>
              <w:rPr>
                <w:color w:val="000000"/>
                <w:sz w:val="24"/>
                <w:szCs w:val="24"/>
              </w:rPr>
            </w:pPr>
            <w:r w:rsidRPr="00F0420C">
              <w:rPr>
                <w:color w:val="000000"/>
                <w:sz w:val="24"/>
                <w:szCs w:val="24"/>
              </w:rPr>
              <w:t xml:space="preserve">             12.478 </w:t>
            </w:r>
          </w:p>
        </w:tc>
        <w:tc>
          <w:tcPr>
            <w:tcW w:w="1201" w:type="dxa"/>
            <w:vAlign w:val="bottom"/>
          </w:tcPr>
          <w:p w:rsidR="00F0420C" w:rsidRPr="00F0420C" w:rsidRDefault="00F0420C" w:rsidP="00F0420C">
            <w:pPr>
              <w:jc w:val="right"/>
              <w:rPr>
                <w:color w:val="000000"/>
                <w:sz w:val="24"/>
                <w:szCs w:val="24"/>
              </w:rPr>
            </w:pPr>
            <w:r w:rsidRPr="00F0420C">
              <w:rPr>
                <w:color w:val="000000"/>
                <w:sz w:val="24"/>
                <w:szCs w:val="24"/>
              </w:rPr>
              <w:t xml:space="preserve">             31.353 </w:t>
            </w:r>
          </w:p>
        </w:tc>
        <w:tc>
          <w:tcPr>
            <w:tcW w:w="1443" w:type="dxa"/>
            <w:vAlign w:val="bottom"/>
          </w:tcPr>
          <w:p w:rsidR="00F0420C" w:rsidRPr="00F0420C" w:rsidRDefault="00F0420C" w:rsidP="00F0420C">
            <w:pPr>
              <w:jc w:val="right"/>
              <w:rPr>
                <w:sz w:val="24"/>
                <w:szCs w:val="24"/>
              </w:rPr>
            </w:pPr>
            <w:r w:rsidRPr="00F0420C">
              <w:rPr>
                <w:sz w:val="24"/>
                <w:szCs w:val="24"/>
              </w:rPr>
              <w:t xml:space="preserve"> 16.965 </w:t>
            </w:r>
          </w:p>
        </w:tc>
      </w:tr>
      <w:tr w:rsidR="00F0420C" w:rsidRPr="00F0420C" w:rsidTr="001D5DA8">
        <w:tc>
          <w:tcPr>
            <w:tcW w:w="577" w:type="dxa"/>
          </w:tcPr>
          <w:p w:rsidR="00F0420C" w:rsidRPr="00F0420C" w:rsidRDefault="00F0420C" w:rsidP="00F0420C">
            <w:pPr>
              <w:widowControl w:val="0"/>
              <w:tabs>
                <w:tab w:val="right" w:leader="dot" w:pos="7920"/>
              </w:tabs>
              <w:jc w:val="both"/>
              <w:rPr>
                <w:sz w:val="24"/>
                <w:szCs w:val="24"/>
              </w:rPr>
            </w:pPr>
            <w:r w:rsidRPr="00F0420C">
              <w:rPr>
                <w:sz w:val="24"/>
                <w:szCs w:val="24"/>
              </w:rPr>
              <w:t>2</w:t>
            </w:r>
          </w:p>
        </w:tc>
        <w:tc>
          <w:tcPr>
            <w:tcW w:w="1951" w:type="dxa"/>
          </w:tcPr>
          <w:p w:rsidR="00F0420C" w:rsidRPr="00F0420C" w:rsidRDefault="00F0420C" w:rsidP="00F0420C">
            <w:pPr>
              <w:widowControl w:val="0"/>
              <w:tabs>
                <w:tab w:val="right" w:leader="dot" w:pos="7920"/>
              </w:tabs>
              <w:jc w:val="both"/>
              <w:rPr>
                <w:sz w:val="24"/>
                <w:szCs w:val="24"/>
              </w:rPr>
            </w:pPr>
            <w:r w:rsidRPr="00F0420C">
              <w:rPr>
                <w:sz w:val="24"/>
                <w:szCs w:val="24"/>
              </w:rPr>
              <w:t>Trung tâm Tư vấn hỗ trợ doanh nghiệp</w:t>
            </w:r>
          </w:p>
        </w:tc>
        <w:tc>
          <w:tcPr>
            <w:tcW w:w="1427" w:type="dxa"/>
            <w:vAlign w:val="bottom"/>
          </w:tcPr>
          <w:p w:rsidR="00F0420C" w:rsidRPr="00F0420C" w:rsidRDefault="00F0420C" w:rsidP="00F0420C">
            <w:pPr>
              <w:jc w:val="right"/>
              <w:rPr>
                <w:sz w:val="24"/>
                <w:szCs w:val="24"/>
              </w:rPr>
            </w:pPr>
            <w:r w:rsidRPr="00F0420C">
              <w:rPr>
                <w:sz w:val="24"/>
                <w:szCs w:val="24"/>
              </w:rPr>
              <w:t xml:space="preserve"> 735 </w:t>
            </w:r>
          </w:p>
        </w:tc>
        <w:tc>
          <w:tcPr>
            <w:tcW w:w="1427" w:type="dxa"/>
            <w:vAlign w:val="bottom"/>
          </w:tcPr>
          <w:p w:rsidR="00F0420C" w:rsidRPr="00F0420C" w:rsidRDefault="00F0420C" w:rsidP="00F0420C">
            <w:pPr>
              <w:jc w:val="right"/>
              <w:rPr>
                <w:sz w:val="24"/>
                <w:szCs w:val="24"/>
              </w:rPr>
            </w:pPr>
            <w:r w:rsidRPr="00F0420C">
              <w:rPr>
                <w:sz w:val="24"/>
                <w:szCs w:val="24"/>
              </w:rPr>
              <w:t xml:space="preserve"> 1.087 </w:t>
            </w:r>
          </w:p>
        </w:tc>
        <w:tc>
          <w:tcPr>
            <w:tcW w:w="1036" w:type="dxa"/>
            <w:vAlign w:val="bottom"/>
          </w:tcPr>
          <w:p w:rsidR="00F0420C" w:rsidRPr="00F0420C" w:rsidRDefault="00F0420C" w:rsidP="00F0420C">
            <w:pPr>
              <w:jc w:val="right"/>
              <w:rPr>
                <w:color w:val="000000"/>
                <w:sz w:val="24"/>
                <w:szCs w:val="24"/>
              </w:rPr>
            </w:pPr>
            <w:r w:rsidRPr="00F0420C">
              <w:rPr>
                <w:color w:val="000000"/>
                <w:sz w:val="24"/>
                <w:szCs w:val="24"/>
              </w:rPr>
              <w:t xml:space="preserve">                  906 </w:t>
            </w:r>
          </w:p>
        </w:tc>
        <w:tc>
          <w:tcPr>
            <w:tcW w:w="1201" w:type="dxa"/>
            <w:vAlign w:val="bottom"/>
          </w:tcPr>
          <w:p w:rsidR="00F0420C" w:rsidRPr="00F0420C" w:rsidRDefault="00F0420C" w:rsidP="00F0420C">
            <w:pPr>
              <w:jc w:val="right"/>
              <w:rPr>
                <w:color w:val="000000"/>
                <w:sz w:val="24"/>
                <w:szCs w:val="24"/>
              </w:rPr>
            </w:pPr>
            <w:r w:rsidRPr="00F0420C">
              <w:rPr>
                <w:color w:val="000000"/>
                <w:sz w:val="24"/>
                <w:szCs w:val="24"/>
              </w:rPr>
              <w:t xml:space="preserve">                  180 </w:t>
            </w:r>
          </w:p>
        </w:tc>
        <w:tc>
          <w:tcPr>
            <w:tcW w:w="1443" w:type="dxa"/>
            <w:vAlign w:val="bottom"/>
          </w:tcPr>
          <w:p w:rsidR="00F0420C" w:rsidRPr="00F0420C" w:rsidRDefault="00F0420C" w:rsidP="00F0420C">
            <w:pPr>
              <w:jc w:val="right"/>
              <w:rPr>
                <w:sz w:val="24"/>
                <w:szCs w:val="24"/>
              </w:rPr>
            </w:pPr>
            <w:r w:rsidRPr="00F0420C">
              <w:rPr>
                <w:sz w:val="24"/>
                <w:szCs w:val="24"/>
              </w:rPr>
              <w:t xml:space="preserve"> 351 </w:t>
            </w:r>
          </w:p>
        </w:tc>
      </w:tr>
      <w:tr w:rsidR="00F0420C" w:rsidRPr="00F0420C" w:rsidTr="001D5DA8">
        <w:tc>
          <w:tcPr>
            <w:tcW w:w="577" w:type="dxa"/>
          </w:tcPr>
          <w:p w:rsidR="00F0420C" w:rsidRPr="00F0420C" w:rsidRDefault="00F0420C" w:rsidP="00F0420C">
            <w:pPr>
              <w:widowControl w:val="0"/>
              <w:tabs>
                <w:tab w:val="right" w:leader="dot" w:pos="7920"/>
              </w:tabs>
              <w:jc w:val="both"/>
              <w:rPr>
                <w:sz w:val="24"/>
                <w:szCs w:val="24"/>
              </w:rPr>
            </w:pPr>
            <w:r w:rsidRPr="00F0420C">
              <w:rPr>
                <w:sz w:val="24"/>
                <w:szCs w:val="24"/>
              </w:rPr>
              <w:t>3</w:t>
            </w:r>
          </w:p>
        </w:tc>
        <w:tc>
          <w:tcPr>
            <w:tcW w:w="1951" w:type="dxa"/>
          </w:tcPr>
          <w:p w:rsidR="00F0420C" w:rsidRPr="00F0420C" w:rsidRDefault="00F0420C" w:rsidP="00F0420C">
            <w:pPr>
              <w:widowControl w:val="0"/>
              <w:tabs>
                <w:tab w:val="right" w:leader="dot" w:pos="7920"/>
              </w:tabs>
              <w:jc w:val="both"/>
              <w:rPr>
                <w:sz w:val="24"/>
                <w:szCs w:val="24"/>
              </w:rPr>
            </w:pPr>
            <w:r w:rsidRPr="00F0420C">
              <w:rPr>
                <w:sz w:val="24"/>
                <w:szCs w:val="24"/>
              </w:rPr>
              <w:t>Trung tâm Dịch vụ việc làm</w:t>
            </w:r>
          </w:p>
        </w:tc>
        <w:tc>
          <w:tcPr>
            <w:tcW w:w="1427" w:type="dxa"/>
            <w:vAlign w:val="bottom"/>
          </w:tcPr>
          <w:p w:rsidR="00F0420C" w:rsidRPr="00F0420C" w:rsidRDefault="00F0420C" w:rsidP="00F0420C">
            <w:pPr>
              <w:jc w:val="right"/>
              <w:rPr>
                <w:sz w:val="24"/>
                <w:szCs w:val="24"/>
              </w:rPr>
            </w:pPr>
            <w:r w:rsidRPr="00F0420C">
              <w:rPr>
                <w:sz w:val="24"/>
                <w:szCs w:val="24"/>
              </w:rPr>
              <w:t xml:space="preserve"> 1.634 </w:t>
            </w:r>
          </w:p>
        </w:tc>
        <w:tc>
          <w:tcPr>
            <w:tcW w:w="1427" w:type="dxa"/>
            <w:vAlign w:val="bottom"/>
          </w:tcPr>
          <w:p w:rsidR="00F0420C" w:rsidRPr="00F0420C" w:rsidRDefault="00F0420C" w:rsidP="00F0420C">
            <w:pPr>
              <w:jc w:val="right"/>
              <w:rPr>
                <w:sz w:val="24"/>
                <w:szCs w:val="24"/>
              </w:rPr>
            </w:pPr>
            <w:r w:rsidRPr="00F0420C">
              <w:rPr>
                <w:sz w:val="24"/>
                <w:szCs w:val="24"/>
              </w:rPr>
              <w:t xml:space="preserve"> 1.930 </w:t>
            </w:r>
          </w:p>
        </w:tc>
        <w:tc>
          <w:tcPr>
            <w:tcW w:w="1036" w:type="dxa"/>
            <w:vAlign w:val="bottom"/>
          </w:tcPr>
          <w:p w:rsidR="00F0420C" w:rsidRPr="00F0420C" w:rsidRDefault="00F0420C" w:rsidP="00F0420C">
            <w:pPr>
              <w:jc w:val="right"/>
              <w:rPr>
                <w:color w:val="000000"/>
                <w:sz w:val="24"/>
                <w:szCs w:val="24"/>
              </w:rPr>
            </w:pPr>
            <w:r w:rsidRPr="00F0420C">
              <w:rPr>
                <w:color w:val="000000"/>
                <w:sz w:val="24"/>
                <w:szCs w:val="24"/>
              </w:rPr>
              <w:t xml:space="preserve">               1.226 </w:t>
            </w:r>
          </w:p>
        </w:tc>
        <w:tc>
          <w:tcPr>
            <w:tcW w:w="1201" w:type="dxa"/>
            <w:vAlign w:val="bottom"/>
          </w:tcPr>
          <w:p w:rsidR="00F0420C" w:rsidRPr="00F0420C" w:rsidRDefault="00F0420C" w:rsidP="00F0420C">
            <w:pPr>
              <w:jc w:val="right"/>
              <w:rPr>
                <w:color w:val="000000"/>
                <w:sz w:val="24"/>
                <w:szCs w:val="24"/>
              </w:rPr>
            </w:pPr>
            <w:r w:rsidRPr="00F0420C">
              <w:rPr>
                <w:color w:val="000000"/>
                <w:sz w:val="24"/>
                <w:szCs w:val="24"/>
              </w:rPr>
              <w:t xml:space="preserve">                  704 </w:t>
            </w:r>
          </w:p>
        </w:tc>
        <w:tc>
          <w:tcPr>
            <w:tcW w:w="1443" w:type="dxa"/>
            <w:vAlign w:val="bottom"/>
          </w:tcPr>
          <w:p w:rsidR="00F0420C" w:rsidRPr="00F0420C" w:rsidRDefault="00F0420C" w:rsidP="00F0420C">
            <w:pPr>
              <w:jc w:val="right"/>
              <w:rPr>
                <w:sz w:val="24"/>
                <w:szCs w:val="24"/>
              </w:rPr>
            </w:pPr>
            <w:r w:rsidRPr="00F0420C">
              <w:rPr>
                <w:sz w:val="24"/>
                <w:szCs w:val="24"/>
              </w:rPr>
              <w:t xml:space="preserve"> 296 </w:t>
            </w:r>
          </w:p>
        </w:tc>
      </w:tr>
      <w:tr w:rsidR="00F0420C" w:rsidRPr="00F0420C" w:rsidTr="001D5DA8">
        <w:tc>
          <w:tcPr>
            <w:tcW w:w="577" w:type="dxa"/>
          </w:tcPr>
          <w:p w:rsidR="00F0420C" w:rsidRPr="00F0420C" w:rsidRDefault="00F0420C" w:rsidP="00F0420C">
            <w:pPr>
              <w:widowControl w:val="0"/>
              <w:tabs>
                <w:tab w:val="right" w:leader="dot" w:pos="7920"/>
              </w:tabs>
              <w:jc w:val="both"/>
              <w:rPr>
                <w:sz w:val="24"/>
                <w:szCs w:val="24"/>
              </w:rPr>
            </w:pPr>
            <w:r w:rsidRPr="00F0420C">
              <w:rPr>
                <w:sz w:val="24"/>
                <w:szCs w:val="24"/>
              </w:rPr>
              <w:t>4</w:t>
            </w:r>
          </w:p>
        </w:tc>
        <w:tc>
          <w:tcPr>
            <w:tcW w:w="1951" w:type="dxa"/>
          </w:tcPr>
          <w:p w:rsidR="00F0420C" w:rsidRPr="00F0420C" w:rsidRDefault="00F0420C" w:rsidP="00F0420C">
            <w:pPr>
              <w:widowControl w:val="0"/>
              <w:tabs>
                <w:tab w:val="right" w:leader="dot" w:pos="7920"/>
              </w:tabs>
              <w:jc w:val="both"/>
              <w:rPr>
                <w:sz w:val="24"/>
                <w:szCs w:val="24"/>
              </w:rPr>
            </w:pPr>
            <w:r w:rsidRPr="00F0420C">
              <w:rPr>
                <w:sz w:val="24"/>
                <w:szCs w:val="24"/>
              </w:rPr>
              <w:t>Nhà Thiếu nhi</w:t>
            </w:r>
          </w:p>
        </w:tc>
        <w:tc>
          <w:tcPr>
            <w:tcW w:w="1427" w:type="dxa"/>
            <w:vAlign w:val="bottom"/>
          </w:tcPr>
          <w:p w:rsidR="00F0420C" w:rsidRPr="00F0420C" w:rsidRDefault="00F0420C" w:rsidP="00F0420C">
            <w:pPr>
              <w:jc w:val="right"/>
              <w:rPr>
                <w:sz w:val="24"/>
                <w:szCs w:val="24"/>
              </w:rPr>
            </w:pPr>
            <w:r w:rsidRPr="00F0420C">
              <w:rPr>
                <w:sz w:val="24"/>
                <w:szCs w:val="24"/>
              </w:rPr>
              <w:t xml:space="preserve"> 4.277 </w:t>
            </w:r>
          </w:p>
        </w:tc>
        <w:tc>
          <w:tcPr>
            <w:tcW w:w="1427" w:type="dxa"/>
            <w:vAlign w:val="bottom"/>
          </w:tcPr>
          <w:p w:rsidR="00F0420C" w:rsidRPr="00F0420C" w:rsidRDefault="00F0420C" w:rsidP="00F0420C">
            <w:pPr>
              <w:jc w:val="right"/>
              <w:rPr>
                <w:sz w:val="24"/>
                <w:szCs w:val="24"/>
              </w:rPr>
            </w:pPr>
            <w:r w:rsidRPr="00F0420C">
              <w:rPr>
                <w:sz w:val="24"/>
                <w:szCs w:val="24"/>
              </w:rPr>
              <w:t xml:space="preserve"> 4.934 </w:t>
            </w:r>
          </w:p>
        </w:tc>
        <w:tc>
          <w:tcPr>
            <w:tcW w:w="1036" w:type="dxa"/>
            <w:vAlign w:val="bottom"/>
          </w:tcPr>
          <w:p w:rsidR="00F0420C" w:rsidRPr="00F0420C" w:rsidRDefault="00F0420C" w:rsidP="00F0420C">
            <w:pPr>
              <w:jc w:val="right"/>
              <w:rPr>
                <w:color w:val="000000"/>
                <w:sz w:val="24"/>
                <w:szCs w:val="24"/>
              </w:rPr>
            </w:pPr>
            <w:r w:rsidRPr="00F0420C">
              <w:rPr>
                <w:color w:val="000000"/>
                <w:sz w:val="24"/>
                <w:szCs w:val="24"/>
              </w:rPr>
              <w:t xml:space="preserve">               2.610 </w:t>
            </w:r>
          </w:p>
        </w:tc>
        <w:tc>
          <w:tcPr>
            <w:tcW w:w="1201" w:type="dxa"/>
            <w:vAlign w:val="bottom"/>
          </w:tcPr>
          <w:p w:rsidR="00F0420C" w:rsidRPr="00F0420C" w:rsidRDefault="00F0420C" w:rsidP="00F0420C">
            <w:pPr>
              <w:jc w:val="right"/>
              <w:rPr>
                <w:color w:val="000000"/>
                <w:sz w:val="24"/>
                <w:szCs w:val="24"/>
              </w:rPr>
            </w:pPr>
            <w:r w:rsidRPr="00F0420C">
              <w:rPr>
                <w:color w:val="000000"/>
                <w:sz w:val="24"/>
                <w:szCs w:val="24"/>
              </w:rPr>
              <w:t xml:space="preserve">               2.324 </w:t>
            </w:r>
          </w:p>
        </w:tc>
        <w:tc>
          <w:tcPr>
            <w:tcW w:w="1443" w:type="dxa"/>
            <w:vAlign w:val="bottom"/>
          </w:tcPr>
          <w:p w:rsidR="00F0420C" w:rsidRPr="00F0420C" w:rsidRDefault="00F0420C" w:rsidP="00F0420C">
            <w:pPr>
              <w:jc w:val="right"/>
              <w:rPr>
                <w:sz w:val="24"/>
                <w:szCs w:val="24"/>
              </w:rPr>
            </w:pPr>
            <w:r w:rsidRPr="00F0420C">
              <w:rPr>
                <w:sz w:val="24"/>
                <w:szCs w:val="24"/>
              </w:rPr>
              <w:t xml:space="preserve"> 657 </w:t>
            </w:r>
          </w:p>
        </w:tc>
      </w:tr>
      <w:tr w:rsidR="00F0420C" w:rsidRPr="00F0420C" w:rsidTr="001D5DA8">
        <w:tc>
          <w:tcPr>
            <w:tcW w:w="577" w:type="dxa"/>
          </w:tcPr>
          <w:p w:rsidR="00F0420C" w:rsidRPr="00F0420C" w:rsidRDefault="00F0420C" w:rsidP="00F0420C">
            <w:pPr>
              <w:widowControl w:val="0"/>
              <w:tabs>
                <w:tab w:val="right" w:leader="dot" w:pos="7920"/>
              </w:tabs>
              <w:jc w:val="both"/>
              <w:rPr>
                <w:sz w:val="24"/>
                <w:szCs w:val="24"/>
              </w:rPr>
            </w:pPr>
            <w:r w:rsidRPr="00F0420C">
              <w:rPr>
                <w:sz w:val="24"/>
                <w:szCs w:val="24"/>
              </w:rPr>
              <w:lastRenderedPageBreak/>
              <w:t>5</w:t>
            </w:r>
          </w:p>
        </w:tc>
        <w:tc>
          <w:tcPr>
            <w:tcW w:w="1951" w:type="dxa"/>
          </w:tcPr>
          <w:p w:rsidR="00F0420C" w:rsidRPr="00F0420C" w:rsidRDefault="00F0420C" w:rsidP="00F0420C">
            <w:pPr>
              <w:widowControl w:val="0"/>
              <w:tabs>
                <w:tab w:val="right" w:leader="dot" w:pos="7920"/>
              </w:tabs>
              <w:jc w:val="both"/>
              <w:rPr>
                <w:sz w:val="24"/>
                <w:szCs w:val="24"/>
              </w:rPr>
            </w:pPr>
            <w:r w:rsidRPr="00F0420C">
              <w:rPr>
                <w:sz w:val="24"/>
                <w:szCs w:val="24"/>
              </w:rPr>
              <w:t>Ban Quản lý chợ thành phố Long Khánh</w:t>
            </w:r>
          </w:p>
        </w:tc>
        <w:tc>
          <w:tcPr>
            <w:tcW w:w="1427" w:type="dxa"/>
            <w:vAlign w:val="bottom"/>
          </w:tcPr>
          <w:p w:rsidR="00F0420C" w:rsidRPr="00F0420C" w:rsidRDefault="00F0420C" w:rsidP="00F0420C">
            <w:pPr>
              <w:jc w:val="right"/>
              <w:rPr>
                <w:sz w:val="24"/>
                <w:szCs w:val="24"/>
              </w:rPr>
            </w:pPr>
            <w:r w:rsidRPr="00F0420C">
              <w:rPr>
                <w:sz w:val="24"/>
                <w:szCs w:val="24"/>
              </w:rPr>
              <w:t xml:space="preserve"> 583 </w:t>
            </w:r>
          </w:p>
        </w:tc>
        <w:tc>
          <w:tcPr>
            <w:tcW w:w="1427" w:type="dxa"/>
            <w:vAlign w:val="bottom"/>
          </w:tcPr>
          <w:p w:rsidR="00F0420C" w:rsidRPr="00F0420C" w:rsidRDefault="00F0420C" w:rsidP="00F0420C">
            <w:pPr>
              <w:jc w:val="right"/>
              <w:rPr>
                <w:sz w:val="24"/>
                <w:szCs w:val="24"/>
              </w:rPr>
            </w:pPr>
            <w:r w:rsidRPr="00F0420C">
              <w:rPr>
                <w:sz w:val="24"/>
                <w:szCs w:val="24"/>
              </w:rPr>
              <w:t xml:space="preserve"> 967 </w:t>
            </w:r>
          </w:p>
        </w:tc>
        <w:tc>
          <w:tcPr>
            <w:tcW w:w="1036" w:type="dxa"/>
            <w:vAlign w:val="bottom"/>
          </w:tcPr>
          <w:p w:rsidR="00F0420C" w:rsidRPr="00F0420C" w:rsidRDefault="00F0420C" w:rsidP="00F0420C">
            <w:pPr>
              <w:jc w:val="right"/>
              <w:rPr>
                <w:color w:val="000000"/>
                <w:sz w:val="24"/>
                <w:szCs w:val="24"/>
              </w:rPr>
            </w:pPr>
            <w:r w:rsidRPr="00F0420C">
              <w:rPr>
                <w:color w:val="000000"/>
                <w:sz w:val="24"/>
                <w:szCs w:val="24"/>
              </w:rPr>
              <w:t xml:space="preserve">                  576 </w:t>
            </w:r>
          </w:p>
        </w:tc>
        <w:tc>
          <w:tcPr>
            <w:tcW w:w="1201" w:type="dxa"/>
            <w:vAlign w:val="bottom"/>
          </w:tcPr>
          <w:p w:rsidR="00F0420C" w:rsidRPr="00F0420C" w:rsidRDefault="00F0420C" w:rsidP="00F0420C">
            <w:pPr>
              <w:jc w:val="right"/>
              <w:rPr>
                <w:color w:val="000000"/>
                <w:sz w:val="24"/>
                <w:szCs w:val="24"/>
              </w:rPr>
            </w:pPr>
            <w:r w:rsidRPr="00F0420C">
              <w:rPr>
                <w:color w:val="000000"/>
                <w:sz w:val="24"/>
                <w:szCs w:val="24"/>
              </w:rPr>
              <w:t xml:space="preserve">                  390 </w:t>
            </w:r>
          </w:p>
        </w:tc>
        <w:tc>
          <w:tcPr>
            <w:tcW w:w="1443" w:type="dxa"/>
            <w:vAlign w:val="bottom"/>
          </w:tcPr>
          <w:p w:rsidR="00F0420C" w:rsidRPr="00F0420C" w:rsidRDefault="00F0420C" w:rsidP="00F0420C">
            <w:pPr>
              <w:jc w:val="right"/>
              <w:rPr>
                <w:sz w:val="24"/>
                <w:szCs w:val="24"/>
              </w:rPr>
            </w:pPr>
            <w:r w:rsidRPr="00F0420C">
              <w:rPr>
                <w:sz w:val="24"/>
                <w:szCs w:val="24"/>
              </w:rPr>
              <w:t xml:space="preserve"> 384 </w:t>
            </w:r>
          </w:p>
        </w:tc>
      </w:tr>
    </w:tbl>
    <w:p w:rsidR="003D029A" w:rsidRDefault="00A24514" w:rsidP="00F1477B">
      <w:pPr>
        <w:widowControl w:val="0"/>
        <w:tabs>
          <w:tab w:val="right" w:leader="dot" w:pos="7920"/>
        </w:tabs>
        <w:spacing w:beforeLines="120" w:before="288" w:line="264" w:lineRule="auto"/>
        <w:jc w:val="center"/>
        <w:rPr>
          <w:i/>
        </w:rPr>
      </w:pPr>
      <w:r w:rsidRPr="0028778C">
        <w:rPr>
          <w:i/>
        </w:rPr>
        <w:t xml:space="preserve">(Chi tiết </w:t>
      </w:r>
      <w:r w:rsidR="0028778C" w:rsidRPr="0028778C">
        <w:rPr>
          <w:i/>
        </w:rPr>
        <w:t xml:space="preserve">các nội dung chi thường xuyên theo Phụ lục </w:t>
      </w:r>
      <w:r w:rsidR="008047F8">
        <w:rPr>
          <w:i/>
        </w:rPr>
        <w:t>I</w:t>
      </w:r>
      <w:r w:rsidR="0028778C" w:rsidRPr="0028778C">
        <w:rPr>
          <w:i/>
        </w:rPr>
        <w:t>I đính kèm)</w:t>
      </w:r>
    </w:p>
    <w:p w:rsidR="00CA2E46" w:rsidRPr="00CA2E46" w:rsidRDefault="00CA2E46" w:rsidP="00322E9F">
      <w:pPr>
        <w:widowControl w:val="0"/>
        <w:tabs>
          <w:tab w:val="right" w:leader="dot" w:pos="7920"/>
        </w:tabs>
        <w:spacing w:after="120"/>
        <w:ind w:firstLine="709"/>
        <w:jc w:val="both"/>
      </w:pPr>
      <w:r>
        <w:t>Nhằm hỗ trợ các đơn vị sự nghiệp công lập nêu trên bảo đảm nguồn tài chính chi thường xuyên năm 2021, UBND tỉnh kính trình HĐND tỉnh xem xét thông qua dự thảo Nghị quyết.</w:t>
      </w:r>
    </w:p>
    <w:p w:rsidR="00AC28B1" w:rsidRPr="00CC7FC0" w:rsidRDefault="00AC28B1" w:rsidP="00322E9F">
      <w:pPr>
        <w:widowControl w:val="0"/>
        <w:tabs>
          <w:tab w:val="right" w:leader="dot" w:pos="7920"/>
        </w:tabs>
        <w:spacing w:after="120"/>
        <w:ind w:firstLine="709"/>
        <w:jc w:val="both"/>
        <w:rPr>
          <w:b/>
        </w:rPr>
      </w:pPr>
      <w:r w:rsidRPr="00CC7FC0">
        <w:rPr>
          <w:b/>
        </w:rPr>
        <w:t xml:space="preserve">II. MỤC ĐÍCH, QUAN ĐIỂM XÂY DỰNG </w:t>
      </w:r>
      <w:r w:rsidR="00A30DD4">
        <w:rPr>
          <w:b/>
        </w:rPr>
        <w:t xml:space="preserve">DỰ THẢO </w:t>
      </w:r>
      <w:r w:rsidRPr="00CC7FC0">
        <w:rPr>
          <w:b/>
        </w:rPr>
        <w:t>VĂN BẢN</w:t>
      </w:r>
    </w:p>
    <w:p w:rsidR="00AC28B1" w:rsidRPr="00CC7FC0" w:rsidRDefault="00AC28B1" w:rsidP="00322E9F">
      <w:pPr>
        <w:widowControl w:val="0"/>
        <w:tabs>
          <w:tab w:val="right" w:leader="dot" w:pos="7920"/>
        </w:tabs>
        <w:spacing w:after="120"/>
        <w:ind w:firstLine="709"/>
        <w:jc w:val="both"/>
        <w:rPr>
          <w:b/>
        </w:rPr>
      </w:pPr>
      <w:r w:rsidRPr="00CC7FC0">
        <w:rPr>
          <w:b/>
        </w:rPr>
        <w:t>1. Mục đích</w:t>
      </w:r>
    </w:p>
    <w:p w:rsidR="004214A6" w:rsidRDefault="004214A6" w:rsidP="00322E9F">
      <w:pPr>
        <w:widowControl w:val="0"/>
        <w:tabs>
          <w:tab w:val="right" w:leader="dot" w:pos="7920"/>
        </w:tabs>
        <w:spacing w:after="120"/>
        <w:ind w:firstLine="709"/>
        <w:jc w:val="both"/>
      </w:pPr>
      <w:r>
        <w:t xml:space="preserve">- Sử dụng nguồn </w:t>
      </w:r>
      <w:r w:rsidR="008209CE" w:rsidRPr="008209CE">
        <w:t xml:space="preserve">vốn tích lũy của đơn vị </w:t>
      </w:r>
      <w:r w:rsidR="008209CE">
        <w:t xml:space="preserve">(gồm </w:t>
      </w:r>
      <w:r>
        <w:t>Quỹ</w:t>
      </w:r>
      <w:r w:rsidR="008209CE" w:rsidRPr="008209CE">
        <w:t xml:space="preserve"> </w:t>
      </w:r>
      <w:r w:rsidR="008209CE">
        <w:t>bổ sung thu nhập</w:t>
      </w:r>
      <w:r>
        <w:t xml:space="preserve"> </w:t>
      </w:r>
      <w:r w:rsidR="008209CE">
        <w:t>- dự phòng ổn định thu nhập</w:t>
      </w:r>
      <w:r>
        <w:t xml:space="preserve">, </w:t>
      </w:r>
      <w:r w:rsidR="00F765FC">
        <w:t>Quỹ khen thưởng, Quỹ phúc lợi, N</w:t>
      </w:r>
      <w:r>
        <w:t>guồn kinh phí cải cách tiền lương năm 2020 chuyển sang năm 2021</w:t>
      </w:r>
      <w:r w:rsidR="008209CE">
        <w:t>)</w:t>
      </w:r>
      <w:r w:rsidR="005F43A1">
        <w:t xml:space="preserve"> </w:t>
      </w:r>
      <w:r w:rsidR="008209CE">
        <w:t xml:space="preserve">và </w:t>
      </w:r>
      <w:r w:rsidR="008209CE" w:rsidRPr="008209CE">
        <w:t>nguồn tài chính chi thường xuyên</w:t>
      </w:r>
      <w:r w:rsidR="008209CE">
        <w:rPr>
          <w:i/>
        </w:rPr>
        <w:t xml:space="preserve"> </w:t>
      </w:r>
      <w:r w:rsidR="008209CE" w:rsidRPr="008209CE">
        <w:t xml:space="preserve">(gồm </w:t>
      </w:r>
      <w:r w:rsidR="008209CE">
        <w:t>nguồn ngân sách nhà nước cấp</w:t>
      </w:r>
      <w:r w:rsidR="008209CE">
        <w:rPr>
          <w:lang w:val="vi-VN"/>
        </w:rPr>
        <w:t xml:space="preserve"> để </w:t>
      </w:r>
      <w:r w:rsidR="008209CE">
        <w:t>hỗ trợ một phần chi thường xuyên</w:t>
      </w:r>
      <w:r w:rsidR="008209CE">
        <w:rPr>
          <w:lang w:val="vi-VN"/>
        </w:rPr>
        <w:t>;</w:t>
      </w:r>
      <w:r w:rsidR="008209CE">
        <w:t xml:space="preserve"> nguồn ngân sách nhà nước cấp để bảo đảm </w:t>
      </w:r>
      <w:r w:rsidR="008209CE" w:rsidRPr="00585CCF">
        <w:t>hoạt động dịch vụ sự nghiệp công thuộc danh mục dịch vụ sự nghiệp công sử dụng ngân sách nhà nước</w:t>
      </w:r>
      <w:r w:rsidR="008209CE">
        <w:t>; nguồn thu hoạt động sự nghiệp; n</w:t>
      </w:r>
      <w:r w:rsidR="008209CE" w:rsidRPr="00021DDE">
        <w:t>guồn thu phí được để lại đơn vị sự nghiệp công để chi theo quy định</w:t>
      </w:r>
      <w:r w:rsidR="008209CE">
        <w:t>; ng</w:t>
      </w:r>
      <w:r w:rsidR="008209CE" w:rsidRPr="00021DDE">
        <w:t>uồn thu khác</w:t>
      </w:r>
      <w:r w:rsidR="008209CE">
        <w:t>)</w:t>
      </w:r>
      <w:r w:rsidR="008209CE" w:rsidRPr="00021DDE">
        <w:t xml:space="preserve"> </w:t>
      </w:r>
      <w:r>
        <w:t>để ưu tiên chi trả chi phí tiền lương cho các đơn vị sự nghiệp công lập thu không đủ chi năm 2021 do tác động của dịch COVID-19 trên địa bàn tỉnh.</w:t>
      </w:r>
    </w:p>
    <w:p w:rsidR="004214A6" w:rsidRDefault="004214A6" w:rsidP="00322E9F">
      <w:pPr>
        <w:widowControl w:val="0"/>
        <w:tabs>
          <w:tab w:val="right" w:leader="dot" w:pos="7920"/>
        </w:tabs>
        <w:spacing w:after="120"/>
        <w:ind w:firstLine="709"/>
        <w:jc w:val="both"/>
      </w:pPr>
      <w:r>
        <w:t xml:space="preserve">- </w:t>
      </w:r>
      <w:r w:rsidR="00AD450D">
        <w:t>Bổ sung</w:t>
      </w:r>
      <w:r>
        <w:t xml:space="preserve"> nguồn ngân sách nhà nước để </w:t>
      </w:r>
      <w:r w:rsidR="00B63CEA">
        <w:t xml:space="preserve">hỗ trợ chi trả chi phí tiền lương (trong trường hợp không thể </w:t>
      </w:r>
      <w:r w:rsidR="00F765FC">
        <w:t>bảo đảm được</w:t>
      </w:r>
      <w:r w:rsidR="00B63CEA">
        <w:t xml:space="preserve"> từ </w:t>
      </w:r>
      <w:r w:rsidR="008D1FB8">
        <w:t>các nguồn vốn tích lũy, nguồn tài chính chi thường xuyên của đơn vị</w:t>
      </w:r>
      <w:r w:rsidR="00B63CEA">
        <w:t xml:space="preserve">) và </w:t>
      </w:r>
      <w:r w:rsidR="008D1FB8">
        <w:t xml:space="preserve">hỗ trợ </w:t>
      </w:r>
      <w:r w:rsidR="00B63CEA">
        <w:t>chi phí hoạt động thường xuyên ngoài lương</w:t>
      </w:r>
      <w:r w:rsidR="00E546E8">
        <w:t xml:space="preserve"> (trong trường hợp không thể bảo đảm được từ nguồn </w:t>
      </w:r>
      <w:r w:rsidR="008D1FB8">
        <w:t>tài chính chi thường xuyên của đơn vị</w:t>
      </w:r>
      <w:r w:rsidR="00181D56" w:rsidRPr="00585CCF">
        <w:t>)</w:t>
      </w:r>
      <w:r w:rsidR="00B63CEA">
        <w:t>.</w:t>
      </w:r>
    </w:p>
    <w:p w:rsidR="00AC28B1" w:rsidRPr="00CC7FC0" w:rsidRDefault="00197904" w:rsidP="00322E9F">
      <w:pPr>
        <w:widowControl w:val="0"/>
        <w:tabs>
          <w:tab w:val="left" w:pos="4696"/>
        </w:tabs>
        <w:spacing w:after="120"/>
        <w:ind w:firstLine="709"/>
        <w:jc w:val="both"/>
        <w:rPr>
          <w:b/>
        </w:rPr>
      </w:pPr>
      <w:r>
        <w:rPr>
          <w:b/>
        </w:rPr>
        <w:t>2</w:t>
      </w:r>
      <w:r w:rsidR="00AC28B1" w:rsidRPr="00CC7FC0">
        <w:rPr>
          <w:b/>
        </w:rPr>
        <w:t>. Quan điểm xây dựng văn bản</w:t>
      </w:r>
      <w:r w:rsidR="00880DCE" w:rsidRPr="00CC7FC0">
        <w:rPr>
          <w:b/>
        </w:rPr>
        <w:tab/>
      </w:r>
    </w:p>
    <w:p w:rsidR="008278D2" w:rsidRDefault="008278D2" w:rsidP="00322E9F">
      <w:pPr>
        <w:spacing w:after="120"/>
        <w:ind w:firstLine="709"/>
        <w:jc w:val="both"/>
        <w:rPr>
          <w:bCs/>
          <w:color w:val="000000"/>
          <w:lang w:val="nl-NL"/>
        </w:rPr>
      </w:pPr>
      <w:r>
        <w:rPr>
          <w:bCs/>
          <w:color w:val="000000"/>
          <w:lang w:val="nl-NL"/>
        </w:rPr>
        <w:t>a) Quan điểm chung</w:t>
      </w:r>
    </w:p>
    <w:p w:rsidR="005F46A5" w:rsidRDefault="00B63CEA" w:rsidP="00322E9F">
      <w:pPr>
        <w:spacing w:after="120"/>
        <w:ind w:firstLine="709"/>
        <w:jc w:val="both"/>
        <w:rPr>
          <w:bCs/>
          <w:color w:val="000000"/>
          <w:lang w:val="nl-NL"/>
        </w:rPr>
      </w:pPr>
      <w:r>
        <w:rPr>
          <w:bCs/>
          <w:color w:val="000000"/>
          <w:lang w:val="nl-NL"/>
        </w:rPr>
        <w:t xml:space="preserve">Chính sách này không hỗ trợ các đơn vị sự nghiệp công lập lĩnh vực y tế do </w:t>
      </w:r>
      <w:r w:rsidR="005F46A5">
        <w:rPr>
          <w:bCs/>
          <w:color w:val="000000"/>
          <w:lang w:val="nl-NL"/>
        </w:rPr>
        <w:t xml:space="preserve">đơn vị sự nghiệp y tế đã được ban hành cơ chế hỗ trợ theo Quyết định số 16/2022/QĐ-TTg ngày 08/7/2022 của Thủ tướng Chính phủ Về </w:t>
      </w:r>
      <w:r w:rsidR="005F46A5" w:rsidRPr="005F46A5">
        <w:rPr>
          <w:bCs/>
          <w:color w:val="000000"/>
          <w:lang w:val="nl-NL"/>
        </w:rPr>
        <w:t>cơ chế hỗ trợ chi thường xuyên cho các đơn vị sự nghiệp y tế công lập thu không đủ chi do tác động của dịch COVID-19</w:t>
      </w:r>
      <w:r w:rsidR="005F46A5">
        <w:rPr>
          <w:bCs/>
          <w:color w:val="000000"/>
          <w:lang w:val="nl-NL"/>
        </w:rPr>
        <w:t>.</w:t>
      </w:r>
    </w:p>
    <w:p w:rsidR="00880DCE" w:rsidRDefault="00585CCF" w:rsidP="00322E9F">
      <w:pPr>
        <w:spacing w:after="120"/>
        <w:ind w:firstLine="709"/>
        <w:jc w:val="both"/>
      </w:pPr>
      <w:r>
        <w:rPr>
          <w:lang w:val="vi-VN"/>
        </w:rPr>
        <w:t>Chính sách hỗ trợ chỉ áp dụng trong năm 2021 đối với các đơn vị sự nghiệp công lập gặp khó khăn về kinh phí chi thường xuyên</w:t>
      </w:r>
      <w:r w:rsidR="00D56D10">
        <w:rPr>
          <w:lang w:val="vi-VN"/>
        </w:rPr>
        <w:t xml:space="preserve"> và quy định cụ thể đơn vị được hỗ trợ, kinh phí hỗ trợ cho từng đơn vị sự nghiệp</w:t>
      </w:r>
      <w:r w:rsidR="00AB682F">
        <w:rPr>
          <w:lang w:val="vi-VN"/>
        </w:rPr>
        <w:t xml:space="preserve"> công lập</w:t>
      </w:r>
      <w:r w:rsidR="00D56D10">
        <w:rPr>
          <w:lang w:val="vi-VN"/>
        </w:rPr>
        <w:t xml:space="preserve"> thu không đủ chi </w:t>
      </w:r>
      <w:r w:rsidR="00D56D10">
        <w:rPr>
          <w:lang w:val="vi-VN"/>
        </w:rPr>
        <w:lastRenderedPageBreak/>
        <w:t xml:space="preserve">năm 2021 do ảnh hưởng của dịch COVID-19. </w:t>
      </w:r>
      <w:r w:rsidR="005F46A5">
        <w:t xml:space="preserve">Đồng thời, </w:t>
      </w:r>
      <w:r w:rsidR="00770C0E">
        <w:t xml:space="preserve">chính sách hỗ trợ cần bảo đảm tiết kiệm chi ngân sách nhà nước, </w:t>
      </w:r>
      <w:r w:rsidR="005F46A5">
        <w:t xml:space="preserve">giảm tối </w:t>
      </w:r>
      <w:r w:rsidR="00D56D10">
        <w:rPr>
          <w:lang w:val="vi-VN"/>
        </w:rPr>
        <w:t>đa</w:t>
      </w:r>
      <w:r w:rsidR="005F46A5">
        <w:t xml:space="preserve"> số bổ sung từ ngân sách nhà nước để hỗ trợ cho đơn vị </w:t>
      </w:r>
      <w:r w:rsidR="00AB682F">
        <w:rPr>
          <w:lang w:val="vi-VN"/>
        </w:rPr>
        <w:t xml:space="preserve">sự nghiệp công lập </w:t>
      </w:r>
      <w:r w:rsidR="005F46A5">
        <w:t>thu không đủ chi</w:t>
      </w:r>
      <w:r w:rsidR="005F3CE2">
        <w:rPr>
          <w:lang w:val="vi-VN"/>
        </w:rPr>
        <w:t xml:space="preserve"> năm 2021</w:t>
      </w:r>
      <w:r w:rsidR="005F46A5">
        <w:t>.</w:t>
      </w:r>
    </w:p>
    <w:p w:rsidR="00E8249B" w:rsidRDefault="00B63CEA" w:rsidP="00E8249B">
      <w:pPr>
        <w:spacing w:after="120"/>
        <w:ind w:firstLine="709"/>
        <w:jc w:val="both"/>
        <w:rPr>
          <w:bCs/>
          <w:color w:val="000000"/>
          <w:lang w:val="nl-NL"/>
        </w:rPr>
      </w:pPr>
      <w:r>
        <w:rPr>
          <w:bCs/>
          <w:color w:val="000000"/>
          <w:lang w:val="nl-NL"/>
        </w:rPr>
        <w:t xml:space="preserve">Đối tượng thụ hưởng của chính sách là các đơn vị sự nghiệp công lập trên địa bàn tỉnh </w:t>
      </w:r>
      <w:r w:rsidR="00E8249B" w:rsidRPr="004565DD">
        <w:rPr>
          <w:bCs/>
          <w:color w:val="000000"/>
          <w:lang w:val="nl-NL"/>
        </w:rPr>
        <w:t>đ</w:t>
      </w:r>
      <w:r w:rsidR="00E8249B" w:rsidRPr="004565DD">
        <w:rPr>
          <w:rFonts w:hint="eastAsia"/>
          <w:bCs/>
          <w:color w:val="000000"/>
          <w:lang w:val="nl-NL"/>
        </w:rPr>
        <w:t>ư</w:t>
      </w:r>
      <w:r w:rsidR="00E8249B" w:rsidRPr="004565DD">
        <w:rPr>
          <w:bCs/>
          <w:color w:val="000000"/>
          <w:lang w:val="nl-NL"/>
        </w:rPr>
        <w:t>ợc c</w:t>
      </w:r>
      <w:r w:rsidR="00E8249B" w:rsidRPr="004565DD">
        <w:rPr>
          <w:rFonts w:hint="eastAsia"/>
          <w:bCs/>
          <w:color w:val="000000"/>
          <w:lang w:val="nl-NL"/>
        </w:rPr>
        <w:t>ơ</w:t>
      </w:r>
      <w:r w:rsidR="00E8249B" w:rsidRPr="004565DD">
        <w:rPr>
          <w:bCs/>
          <w:color w:val="000000"/>
          <w:lang w:val="nl-NL"/>
        </w:rPr>
        <w:t xml:space="preserve"> quan có thẩm quyền quyết định phân loại và giao quyền tự chủ tài chính năm 2021 theo quy định </w:t>
      </w:r>
      <w:r w:rsidR="00E8249B">
        <w:rPr>
          <w:bCs/>
          <w:color w:val="000000"/>
          <w:lang w:val="nl-NL"/>
        </w:rPr>
        <w:t xml:space="preserve">và </w:t>
      </w:r>
      <w:r w:rsidR="00E8249B" w:rsidRPr="004565DD">
        <w:rPr>
          <w:bCs/>
          <w:color w:val="000000"/>
          <w:lang w:val="nl-NL"/>
        </w:rPr>
        <w:t>đ</w:t>
      </w:r>
      <w:r w:rsidR="00E8249B" w:rsidRPr="004565DD">
        <w:rPr>
          <w:rFonts w:hint="eastAsia"/>
          <w:bCs/>
          <w:color w:val="000000"/>
          <w:lang w:val="nl-NL"/>
        </w:rPr>
        <w:t>ư</w:t>
      </w:r>
      <w:r w:rsidR="00E8249B" w:rsidRPr="004565DD">
        <w:rPr>
          <w:bCs/>
          <w:color w:val="000000"/>
          <w:lang w:val="nl-NL"/>
        </w:rPr>
        <w:t>ợc xác định có tổng nguồn thu nhỏ h</w:t>
      </w:r>
      <w:r w:rsidR="00E8249B" w:rsidRPr="004565DD">
        <w:rPr>
          <w:rFonts w:hint="eastAsia"/>
          <w:bCs/>
          <w:color w:val="000000"/>
          <w:lang w:val="nl-NL"/>
        </w:rPr>
        <w:t>ơ</w:t>
      </w:r>
      <w:r w:rsidR="00E8249B" w:rsidRPr="004565DD">
        <w:rPr>
          <w:bCs/>
          <w:color w:val="000000"/>
          <w:lang w:val="nl-NL"/>
        </w:rPr>
        <w:t>n tổng chi hoạt động th</w:t>
      </w:r>
      <w:r w:rsidR="00E8249B" w:rsidRPr="004565DD">
        <w:rPr>
          <w:rFonts w:hint="eastAsia"/>
          <w:bCs/>
          <w:color w:val="000000"/>
          <w:lang w:val="nl-NL"/>
        </w:rPr>
        <w:t>ư</w:t>
      </w:r>
      <w:r w:rsidR="00E8249B" w:rsidRPr="004565DD">
        <w:rPr>
          <w:bCs/>
          <w:color w:val="000000"/>
          <w:lang w:val="nl-NL"/>
        </w:rPr>
        <w:t>ờng xuyên do ảnh h</w:t>
      </w:r>
      <w:r w:rsidR="00E8249B" w:rsidRPr="004565DD">
        <w:rPr>
          <w:rFonts w:hint="eastAsia"/>
          <w:bCs/>
          <w:color w:val="000000"/>
          <w:lang w:val="nl-NL"/>
        </w:rPr>
        <w:t>ư</w:t>
      </w:r>
      <w:r w:rsidR="00E8249B" w:rsidRPr="004565DD">
        <w:rPr>
          <w:bCs/>
          <w:color w:val="000000"/>
          <w:lang w:val="nl-NL"/>
        </w:rPr>
        <w:t>ởng của dịch COVID-19 năm 2021</w:t>
      </w:r>
      <w:r w:rsidR="00E8249B">
        <w:rPr>
          <w:bCs/>
          <w:color w:val="000000"/>
          <w:lang w:val="nl-NL"/>
        </w:rPr>
        <w:t>.</w:t>
      </w:r>
    </w:p>
    <w:p w:rsidR="00E8249B" w:rsidRDefault="005A56AB" w:rsidP="00322E9F">
      <w:pPr>
        <w:spacing w:after="120"/>
        <w:ind w:firstLine="709"/>
        <w:jc w:val="both"/>
        <w:rPr>
          <w:bCs/>
          <w:color w:val="000000"/>
          <w:lang w:val="nl-NL"/>
        </w:rPr>
      </w:pPr>
      <w:r w:rsidRPr="00AD7D6E">
        <w:rPr>
          <w:bCs/>
          <w:color w:val="000000"/>
          <w:lang w:val="nl-NL"/>
        </w:rPr>
        <w:t>Ngân sách nhà nước k</w:t>
      </w:r>
      <w:r w:rsidR="00E8249B" w:rsidRPr="00AD7D6E">
        <w:rPr>
          <w:bCs/>
          <w:color w:val="000000"/>
          <w:lang w:val="nl-NL"/>
        </w:rPr>
        <w:t xml:space="preserve">hông hỗ trợ để chi tiền thuê đất, chi thuế thu nhập doanh nghiệp, tiền ăn trưa, </w:t>
      </w:r>
      <w:r w:rsidRPr="00AD7D6E">
        <w:rPr>
          <w:bCs/>
          <w:color w:val="000000"/>
          <w:lang w:val="nl-NL"/>
        </w:rPr>
        <w:t>chi phí khấu hao tài sản cố định,</w:t>
      </w:r>
      <w:r>
        <w:rPr>
          <w:bCs/>
          <w:color w:val="000000"/>
          <w:lang w:val="nl-NL"/>
        </w:rPr>
        <w:t xml:space="preserve"> </w:t>
      </w:r>
      <w:r w:rsidR="00E8249B" w:rsidRPr="004565DD">
        <w:rPr>
          <w:bCs/>
          <w:color w:val="000000"/>
          <w:lang w:val="nl-NL"/>
        </w:rPr>
        <w:t>chi thu nhập tăng thêm và trích lập các Quỹ theo c</w:t>
      </w:r>
      <w:r w:rsidR="00E8249B" w:rsidRPr="004565DD">
        <w:rPr>
          <w:rFonts w:hint="eastAsia"/>
          <w:bCs/>
          <w:color w:val="000000"/>
          <w:lang w:val="nl-NL"/>
        </w:rPr>
        <w:t>ơ</w:t>
      </w:r>
      <w:r w:rsidR="00E8249B" w:rsidRPr="004565DD">
        <w:rPr>
          <w:bCs/>
          <w:color w:val="000000"/>
          <w:lang w:val="nl-NL"/>
        </w:rPr>
        <w:t xml:space="preserve"> chế tự chủ của đ</w:t>
      </w:r>
      <w:r w:rsidR="00E8249B" w:rsidRPr="004565DD">
        <w:rPr>
          <w:rFonts w:hint="eastAsia"/>
          <w:bCs/>
          <w:color w:val="000000"/>
          <w:lang w:val="nl-NL"/>
        </w:rPr>
        <w:t>ơ</w:t>
      </w:r>
      <w:r w:rsidR="00E8249B">
        <w:rPr>
          <w:bCs/>
          <w:color w:val="000000"/>
          <w:lang w:val="nl-NL"/>
        </w:rPr>
        <w:t>n vị sự nghiệp công lập.</w:t>
      </w:r>
    </w:p>
    <w:p w:rsidR="007253B8" w:rsidRDefault="008278D2" w:rsidP="00322E9F">
      <w:pPr>
        <w:widowControl w:val="0"/>
        <w:tabs>
          <w:tab w:val="left" w:pos="4696"/>
        </w:tabs>
        <w:spacing w:after="120"/>
        <w:ind w:firstLine="709"/>
        <w:jc w:val="both"/>
      </w:pPr>
      <w:r w:rsidRPr="00376C3A">
        <w:t xml:space="preserve">b) Chính sách 1: Ưu tiên </w:t>
      </w:r>
      <w:r w:rsidR="007253B8" w:rsidRPr="00376C3A">
        <w:rPr>
          <w:lang w:val="vi-VN"/>
        </w:rPr>
        <w:t xml:space="preserve">bảo đảm </w:t>
      </w:r>
      <w:r w:rsidR="007253B8" w:rsidRPr="00376C3A">
        <w:t>tiền lương theo ngạch, bậc, chức vụ, phụ cấp lương theo chế độ quy định và các khoản đóng góp theo chế độ (bảo hiểm y tế, bảo hiểm xã hội, bảo hiểm thất nghiệp, kinh phí công đoàn) năm 2021 của số lượng người làm việc (đối với ĐVSNCL tự bảo đảm một phần chi thường xuyên và ĐVSNCL do NSNN bảo đảm chi thường xuyên), đề án vị trí việc làm (đối với ĐVSNCL tự bảo đảm chi thường xuyên) được cấp có thẩm quyền giao, phê duyệt</w:t>
      </w:r>
      <w:r w:rsidR="007253B8">
        <w:t xml:space="preserve"> từ các nguồn tài chính theo thứ tự ưu tiên như sau: (1) </w:t>
      </w:r>
      <w:r w:rsidR="007253B8" w:rsidRPr="002F171D">
        <w:t>nguồn vốn tích lũy</w:t>
      </w:r>
      <w:r w:rsidR="007253B8">
        <w:t xml:space="preserve"> và (2) nguồn tài chính chi thường xuyên</w:t>
      </w:r>
      <w:r w:rsidR="007253B8">
        <w:rPr>
          <w:rStyle w:val="FootnoteReference"/>
        </w:rPr>
        <w:footnoteReference w:id="3"/>
      </w:r>
      <w:r w:rsidR="007253B8">
        <w:t>.</w:t>
      </w:r>
    </w:p>
    <w:p w:rsidR="008278D2" w:rsidRPr="00376C3A" w:rsidRDefault="008278D2" w:rsidP="00322E9F">
      <w:pPr>
        <w:widowControl w:val="0"/>
        <w:tabs>
          <w:tab w:val="left" w:pos="4696"/>
        </w:tabs>
        <w:spacing w:after="120"/>
        <w:ind w:firstLine="709"/>
        <w:jc w:val="both"/>
      </w:pPr>
      <w:r w:rsidRPr="00376C3A">
        <w:t>- Các đối tượng áp dụng:</w:t>
      </w:r>
      <w:r w:rsidR="00376C3A" w:rsidRPr="00376C3A">
        <w:t xml:space="preserve"> Đơn vị sự nghiệp thu không đủ bù chi và có số dư nguồn Quỹ dự phòng ổn định thu nhập, Quỹ khen thưởng, Quỹ phúc lợi năm 2021, có nguồn kinh phí cải cách tiền lương chưa sử dụng năm 2020 chuyển sang năm 2021, cụ thể gồm các đơn vị sau: </w:t>
      </w:r>
      <w:r w:rsidRPr="00376C3A">
        <w:rPr>
          <w:bCs/>
          <w:color w:val="000000"/>
          <w:lang w:val="nl-NL"/>
        </w:rPr>
        <w:t>Đài Phát thanh – Truyền hình tỉnh Đồng Nai, Trung tâm Tư vấn hỗ trợ doanh nghiệp tỉnh Đồng Nai, Trung tâm Dịch vụ việc làm tỉnh Đồng Nai, Nhà Thiếu nhi tỉnh Đồng Nai.</w:t>
      </w:r>
    </w:p>
    <w:p w:rsidR="008278D2" w:rsidRPr="004F029F" w:rsidRDefault="008278D2" w:rsidP="00F0420C">
      <w:pPr>
        <w:widowControl w:val="0"/>
        <w:tabs>
          <w:tab w:val="left" w:pos="4696"/>
        </w:tabs>
        <w:spacing w:after="120"/>
        <w:ind w:firstLine="709"/>
        <w:jc w:val="both"/>
      </w:pPr>
      <w:r w:rsidRPr="004F029F">
        <w:t xml:space="preserve">- Nguồn kinh phí: </w:t>
      </w:r>
      <w:r w:rsidR="00F0420C">
        <w:t xml:space="preserve">Nguồn </w:t>
      </w:r>
      <w:r w:rsidR="00F0420C" w:rsidRPr="008209CE">
        <w:t xml:space="preserve">vốn tích lũy của đơn vị </w:t>
      </w:r>
      <w:r w:rsidR="00F0420C">
        <w:t>(gồm Quỹ</w:t>
      </w:r>
      <w:r w:rsidR="00F0420C" w:rsidRPr="008209CE">
        <w:t xml:space="preserve"> </w:t>
      </w:r>
      <w:r w:rsidR="00F0420C">
        <w:t xml:space="preserve">bổ sung thu nhập - dự phòng ổn định thu nhập, Quỹ khen thưởng, Quỹ phúc lợi, Nguồn kinh phí cải cách tiền lương năm 2020 chuyển sang năm 2021) và </w:t>
      </w:r>
      <w:r w:rsidR="00F0420C" w:rsidRPr="008209CE">
        <w:t>nguồn tài chính chi thường xuyên</w:t>
      </w:r>
      <w:r w:rsidR="00F0420C">
        <w:rPr>
          <w:i/>
        </w:rPr>
        <w:t xml:space="preserve"> </w:t>
      </w:r>
      <w:r w:rsidR="00F0420C" w:rsidRPr="008209CE">
        <w:t xml:space="preserve">của đơn vị (gồm </w:t>
      </w:r>
      <w:r w:rsidR="00F0420C">
        <w:t>nguồn ngân sách nhà nước cấp</w:t>
      </w:r>
      <w:r w:rsidR="00F0420C">
        <w:rPr>
          <w:lang w:val="vi-VN"/>
        </w:rPr>
        <w:t xml:space="preserve"> để </w:t>
      </w:r>
      <w:r w:rsidR="00F0420C">
        <w:t>hỗ trợ một phần chi thường xuyên</w:t>
      </w:r>
      <w:r w:rsidR="00F0420C">
        <w:rPr>
          <w:lang w:val="vi-VN"/>
        </w:rPr>
        <w:t>;</w:t>
      </w:r>
      <w:r w:rsidR="00F0420C">
        <w:t xml:space="preserve"> nguồn ngân sách nhà nước cấp để bảo đảm </w:t>
      </w:r>
      <w:r w:rsidR="00F0420C" w:rsidRPr="00585CCF">
        <w:t>hoạt động dịch vụ sự nghiệp công thuộc danh mục dịch vụ sự nghiệp công sử dụng ngân sách nhà nước</w:t>
      </w:r>
      <w:r w:rsidR="00F0420C">
        <w:t>; nguồn thu hoạt động sự nghiệp; n</w:t>
      </w:r>
      <w:r w:rsidR="00F0420C" w:rsidRPr="00021DDE">
        <w:t>guồn thu phí được để lại đơn vị sự nghiệp công để chi theo quy định</w:t>
      </w:r>
      <w:r w:rsidR="00F0420C">
        <w:t>; ng</w:t>
      </w:r>
      <w:r w:rsidR="00F0420C" w:rsidRPr="00021DDE">
        <w:t>uồn thu khác</w:t>
      </w:r>
      <w:r w:rsidR="00F0420C">
        <w:t>).</w:t>
      </w:r>
    </w:p>
    <w:p w:rsidR="008278D2" w:rsidRDefault="008278D2" w:rsidP="00322E9F">
      <w:pPr>
        <w:widowControl w:val="0"/>
        <w:tabs>
          <w:tab w:val="left" w:pos="4696"/>
        </w:tabs>
        <w:spacing w:after="120"/>
        <w:ind w:firstLine="709"/>
        <w:jc w:val="both"/>
      </w:pPr>
      <w:r w:rsidRPr="004F029F">
        <w:lastRenderedPageBreak/>
        <w:t xml:space="preserve">- Số tiền dự kiến: </w:t>
      </w:r>
      <w:r w:rsidR="00376C3A" w:rsidRPr="004F029F">
        <w:t>Các đơn vị dự kiến sử dụng 3.15</w:t>
      </w:r>
      <w:r w:rsidR="00C07721">
        <w:t>2</w:t>
      </w:r>
      <w:r w:rsidR="00376C3A" w:rsidRPr="004F029F">
        <w:t xml:space="preserve"> triệu đồng</w:t>
      </w:r>
      <w:r w:rsidR="00C07721">
        <w:t xml:space="preserve"> từ nguồn vốn tích lũy và </w:t>
      </w:r>
      <w:r w:rsidR="004337D2">
        <w:t>14.566</w:t>
      </w:r>
      <w:r w:rsidR="00C07721">
        <w:t xml:space="preserve"> triệu đồng từ nguồn tài chính chi thường xuyên</w:t>
      </w:r>
      <w:r w:rsidR="001545FA" w:rsidRPr="004F029F">
        <w:t>, cụ thể:</w:t>
      </w:r>
    </w:p>
    <w:tbl>
      <w:tblPr>
        <w:tblW w:w="10369" w:type="dxa"/>
        <w:tblInd w:w="-856" w:type="dxa"/>
        <w:tblLook w:val="04A0" w:firstRow="1" w:lastRow="0" w:firstColumn="1" w:lastColumn="0" w:noHBand="0" w:noVBand="1"/>
      </w:tblPr>
      <w:tblGrid>
        <w:gridCol w:w="510"/>
        <w:gridCol w:w="1458"/>
        <w:gridCol w:w="6"/>
        <w:gridCol w:w="876"/>
        <w:gridCol w:w="900"/>
        <w:gridCol w:w="1056"/>
        <w:gridCol w:w="1031"/>
        <w:gridCol w:w="1417"/>
        <w:gridCol w:w="900"/>
        <w:gridCol w:w="1138"/>
        <w:gridCol w:w="1071"/>
        <w:gridCol w:w="6"/>
      </w:tblGrid>
      <w:tr w:rsidR="00AE344E" w:rsidRPr="001545FA" w:rsidTr="00FA1CA3">
        <w:trPr>
          <w:gridAfter w:val="1"/>
          <w:wAfter w:w="6" w:type="dxa"/>
          <w:trHeight w:val="2027"/>
          <w:tblHead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44E" w:rsidRPr="001545FA" w:rsidRDefault="00AE344E" w:rsidP="00AE344E">
            <w:pPr>
              <w:jc w:val="center"/>
              <w:rPr>
                <w:color w:val="000000"/>
                <w:sz w:val="24"/>
                <w:szCs w:val="24"/>
              </w:rPr>
            </w:pPr>
            <w:r w:rsidRPr="001545FA">
              <w:rPr>
                <w:color w:val="000000"/>
                <w:sz w:val="24"/>
                <w:szCs w:val="24"/>
              </w:rPr>
              <w:t>TT</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AE344E" w:rsidRPr="001545FA" w:rsidRDefault="00AE344E" w:rsidP="00AE344E">
            <w:pPr>
              <w:jc w:val="center"/>
              <w:rPr>
                <w:color w:val="000000"/>
                <w:sz w:val="24"/>
                <w:szCs w:val="24"/>
              </w:rPr>
            </w:pPr>
            <w:r w:rsidRPr="001545FA">
              <w:rPr>
                <w:color w:val="000000"/>
                <w:sz w:val="24"/>
                <w:szCs w:val="24"/>
              </w:rPr>
              <w:t>Tên đơn vị</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AE344E" w:rsidRPr="001545FA" w:rsidRDefault="00AE344E" w:rsidP="00AE344E">
            <w:pPr>
              <w:rPr>
                <w:color w:val="000000"/>
                <w:sz w:val="24"/>
                <w:szCs w:val="24"/>
              </w:rPr>
            </w:pPr>
            <w:r w:rsidRPr="001545FA">
              <w:rPr>
                <w:color w:val="000000"/>
                <w:sz w:val="24"/>
                <w:szCs w:val="24"/>
              </w:rPr>
              <w:t>Chi phí tiền lương</w:t>
            </w:r>
          </w:p>
        </w:tc>
        <w:tc>
          <w:tcPr>
            <w:tcW w:w="876" w:type="dxa"/>
            <w:tcBorders>
              <w:top w:val="single" w:sz="4" w:space="0" w:color="auto"/>
              <w:left w:val="nil"/>
              <w:bottom w:val="single" w:sz="4" w:space="0" w:color="auto"/>
              <w:right w:val="single" w:sz="4" w:space="0" w:color="auto"/>
            </w:tcBorders>
            <w:vAlign w:val="center"/>
          </w:tcPr>
          <w:p w:rsidR="00AE344E" w:rsidRPr="001545FA" w:rsidRDefault="00AE344E" w:rsidP="00305F80">
            <w:pPr>
              <w:jc w:val="center"/>
              <w:rPr>
                <w:color w:val="000000"/>
                <w:sz w:val="24"/>
                <w:szCs w:val="24"/>
              </w:rPr>
            </w:pPr>
            <w:r w:rsidRPr="00CD5E31">
              <w:rPr>
                <w:color w:val="000000"/>
                <w:sz w:val="24"/>
                <w:szCs w:val="24"/>
              </w:rPr>
              <w:t xml:space="preserve">Chi </w:t>
            </w:r>
            <w:r w:rsidR="00305F80">
              <w:rPr>
                <w:color w:val="000000"/>
                <w:sz w:val="24"/>
                <w:szCs w:val="24"/>
              </w:rPr>
              <w:t>thường xuyên</w:t>
            </w:r>
            <w:r w:rsidRPr="00CD5E31">
              <w:rPr>
                <w:color w:val="000000"/>
                <w:sz w:val="24"/>
                <w:szCs w:val="24"/>
              </w:rPr>
              <w:t xml:space="preserve"> ngoài lương</w:t>
            </w:r>
            <w:r w:rsidR="006A7379">
              <w:rPr>
                <w:rStyle w:val="FootnoteReference"/>
                <w:color w:val="000000"/>
                <w:sz w:val="24"/>
                <w:szCs w:val="24"/>
              </w:rPr>
              <w:footnoteReference w:id="4"/>
            </w:r>
          </w:p>
        </w:tc>
        <w:tc>
          <w:tcPr>
            <w:tcW w:w="1056" w:type="dxa"/>
            <w:tcBorders>
              <w:top w:val="single" w:sz="4" w:space="0" w:color="auto"/>
              <w:left w:val="single" w:sz="4" w:space="0" w:color="auto"/>
              <w:bottom w:val="nil"/>
              <w:right w:val="single" w:sz="4" w:space="0" w:color="auto"/>
            </w:tcBorders>
            <w:shd w:val="clear" w:color="auto" w:fill="auto"/>
            <w:vAlign w:val="center"/>
            <w:hideMark/>
          </w:tcPr>
          <w:p w:rsidR="00AE344E" w:rsidRPr="001545FA" w:rsidRDefault="00AE344E" w:rsidP="00AE344E">
            <w:pPr>
              <w:rPr>
                <w:color w:val="000000"/>
                <w:sz w:val="24"/>
                <w:szCs w:val="24"/>
              </w:rPr>
            </w:pPr>
            <w:r w:rsidRPr="001545FA">
              <w:rPr>
                <w:color w:val="000000"/>
                <w:sz w:val="24"/>
                <w:szCs w:val="24"/>
              </w:rPr>
              <w:t xml:space="preserve">Số dư nguồn </w:t>
            </w:r>
            <w:r>
              <w:rPr>
                <w:color w:val="000000"/>
                <w:sz w:val="24"/>
                <w:szCs w:val="24"/>
              </w:rPr>
              <w:t xml:space="preserve">vốn tích lũy </w:t>
            </w:r>
          </w:p>
        </w:tc>
        <w:tc>
          <w:tcPr>
            <w:tcW w:w="1031" w:type="dxa"/>
            <w:tcBorders>
              <w:top w:val="single" w:sz="4" w:space="0" w:color="auto"/>
              <w:left w:val="nil"/>
              <w:bottom w:val="nil"/>
              <w:right w:val="single" w:sz="4" w:space="0" w:color="auto"/>
            </w:tcBorders>
            <w:shd w:val="clear" w:color="auto" w:fill="auto"/>
            <w:vAlign w:val="center"/>
            <w:hideMark/>
          </w:tcPr>
          <w:p w:rsidR="00AE344E" w:rsidRPr="001545FA" w:rsidRDefault="00AE344E" w:rsidP="00AE344E">
            <w:pPr>
              <w:rPr>
                <w:color w:val="000000"/>
                <w:sz w:val="24"/>
                <w:szCs w:val="24"/>
              </w:rPr>
            </w:pPr>
            <w:r>
              <w:rPr>
                <w:color w:val="000000"/>
                <w:sz w:val="24"/>
                <w:szCs w:val="24"/>
              </w:rPr>
              <w:t xml:space="preserve">Dùng </w:t>
            </w:r>
            <w:r w:rsidRPr="001545FA">
              <w:rPr>
                <w:color w:val="000000"/>
                <w:sz w:val="24"/>
                <w:szCs w:val="24"/>
              </w:rPr>
              <w:t xml:space="preserve">nguồn </w:t>
            </w:r>
            <w:r>
              <w:rPr>
                <w:color w:val="000000"/>
                <w:sz w:val="24"/>
                <w:szCs w:val="24"/>
              </w:rPr>
              <w:t>vốn tích lũy</w:t>
            </w:r>
            <w:r w:rsidRPr="001545FA">
              <w:rPr>
                <w:color w:val="000000"/>
                <w:sz w:val="24"/>
                <w:szCs w:val="24"/>
              </w:rPr>
              <w:t xml:space="preserve"> để chi lương </w:t>
            </w:r>
          </w:p>
        </w:tc>
        <w:tc>
          <w:tcPr>
            <w:tcW w:w="1417" w:type="dxa"/>
            <w:tcBorders>
              <w:top w:val="single" w:sz="4" w:space="0" w:color="auto"/>
              <w:left w:val="nil"/>
              <w:bottom w:val="nil"/>
              <w:right w:val="single" w:sz="4" w:space="0" w:color="auto"/>
            </w:tcBorders>
            <w:shd w:val="clear" w:color="auto" w:fill="auto"/>
            <w:vAlign w:val="center"/>
            <w:hideMark/>
          </w:tcPr>
          <w:p w:rsidR="00AE344E" w:rsidRPr="001545FA" w:rsidRDefault="00AE344E" w:rsidP="00AE344E">
            <w:pPr>
              <w:rPr>
                <w:color w:val="000000"/>
                <w:sz w:val="24"/>
                <w:szCs w:val="24"/>
              </w:rPr>
            </w:pPr>
            <w:r w:rsidRPr="001545FA">
              <w:rPr>
                <w:color w:val="000000"/>
                <w:sz w:val="24"/>
                <w:szCs w:val="24"/>
              </w:rPr>
              <w:t xml:space="preserve">Nhu cầu chi tiền lương sau khi cân đối từ </w:t>
            </w:r>
            <w:r>
              <w:rPr>
                <w:color w:val="000000"/>
                <w:sz w:val="24"/>
                <w:szCs w:val="24"/>
              </w:rPr>
              <w:t>các nguồn vốn tích lũy</w:t>
            </w:r>
          </w:p>
        </w:tc>
        <w:tc>
          <w:tcPr>
            <w:tcW w:w="900" w:type="dxa"/>
            <w:tcBorders>
              <w:top w:val="single" w:sz="4" w:space="0" w:color="auto"/>
              <w:left w:val="nil"/>
              <w:bottom w:val="single" w:sz="4" w:space="0" w:color="auto"/>
              <w:right w:val="single" w:sz="4" w:space="0" w:color="auto"/>
            </w:tcBorders>
            <w:vAlign w:val="center"/>
          </w:tcPr>
          <w:p w:rsidR="00AE344E" w:rsidRPr="00AE344E" w:rsidRDefault="00AE344E" w:rsidP="00AE344E">
            <w:pPr>
              <w:rPr>
                <w:color w:val="000000"/>
                <w:sz w:val="24"/>
                <w:szCs w:val="24"/>
              </w:rPr>
            </w:pPr>
            <w:r w:rsidRPr="00AE344E">
              <w:rPr>
                <w:color w:val="000000"/>
                <w:sz w:val="24"/>
                <w:szCs w:val="24"/>
              </w:rPr>
              <w:t>N</w:t>
            </w:r>
            <w:r>
              <w:rPr>
                <w:color w:val="000000"/>
                <w:sz w:val="24"/>
                <w:szCs w:val="24"/>
              </w:rPr>
              <w:t>guồn tài chính chi thường xuyên</w:t>
            </w:r>
          </w:p>
        </w:tc>
        <w:tc>
          <w:tcPr>
            <w:tcW w:w="1149" w:type="dxa"/>
            <w:tcBorders>
              <w:top w:val="single" w:sz="4" w:space="0" w:color="auto"/>
              <w:left w:val="single" w:sz="4" w:space="0" w:color="auto"/>
              <w:bottom w:val="single" w:sz="4" w:space="0" w:color="auto"/>
              <w:right w:val="single" w:sz="4" w:space="0" w:color="auto"/>
            </w:tcBorders>
            <w:vAlign w:val="center"/>
          </w:tcPr>
          <w:p w:rsidR="00AE344E" w:rsidRPr="00AE344E" w:rsidRDefault="00AE344E" w:rsidP="00AE344E">
            <w:pPr>
              <w:rPr>
                <w:color w:val="000000"/>
                <w:sz w:val="24"/>
                <w:szCs w:val="24"/>
              </w:rPr>
            </w:pPr>
            <w:r>
              <w:rPr>
                <w:color w:val="000000"/>
                <w:sz w:val="24"/>
                <w:szCs w:val="24"/>
              </w:rPr>
              <w:t>Dùng</w:t>
            </w:r>
            <w:r w:rsidRPr="00AE344E">
              <w:rPr>
                <w:color w:val="000000"/>
                <w:sz w:val="24"/>
                <w:szCs w:val="24"/>
              </w:rPr>
              <w:t xml:space="preserve"> nguồn tài chính chi thường xuyên để chi lương</w:t>
            </w:r>
          </w:p>
        </w:tc>
        <w:tc>
          <w:tcPr>
            <w:tcW w:w="1084" w:type="dxa"/>
            <w:tcBorders>
              <w:top w:val="single" w:sz="4" w:space="0" w:color="auto"/>
              <w:left w:val="single" w:sz="4" w:space="0" w:color="auto"/>
              <w:bottom w:val="single" w:sz="4" w:space="0" w:color="auto"/>
              <w:right w:val="single" w:sz="4" w:space="0" w:color="auto"/>
            </w:tcBorders>
            <w:vAlign w:val="center"/>
          </w:tcPr>
          <w:p w:rsidR="00AE344E" w:rsidRPr="00AE344E" w:rsidRDefault="00AE344E" w:rsidP="00AE344E">
            <w:pPr>
              <w:rPr>
                <w:color w:val="000000"/>
                <w:sz w:val="24"/>
                <w:szCs w:val="24"/>
              </w:rPr>
            </w:pPr>
            <w:r w:rsidRPr="00AE344E">
              <w:rPr>
                <w:color w:val="000000"/>
                <w:sz w:val="24"/>
                <w:szCs w:val="24"/>
              </w:rPr>
              <w:t xml:space="preserve">Nhu cầu chi phí tiền lương </w:t>
            </w:r>
            <w:r>
              <w:rPr>
                <w:color w:val="000000"/>
                <w:sz w:val="24"/>
                <w:szCs w:val="24"/>
              </w:rPr>
              <w:t>còn lại</w:t>
            </w:r>
          </w:p>
        </w:tc>
      </w:tr>
      <w:tr w:rsidR="00AE344E" w:rsidRPr="001545FA" w:rsidTr="00FA1CA3">
        <w:trPr>
          <w:gridAfter w:val="1"/>
          <w:wAfter w:w="6" w:type="dxa"/>
          <w:trHeight w:val="636"/>
          <w:tblHeader/>
        </w:trPr>
        <w:tc>
          <w:tcPr>
            <w:tcW w:w="510" w:type="dxa"/>
            <w:tcBorders>
              <w:top w:val="nil"/>
              <w:left w:val="single" w:sz="4" w:space="0" w:color="auto"/>
              <w:bottom w:val="single" w:sz="4" w:space="0" w:color="auto"/>
              <w:right w:val="single" w:sz="4" w:space="0" w:color="auto"/>
            </w:tcBorders>
            <w:shd w:val="clear" w:color="auto" w:fill="auto"/>
            <w:vAlign w:val="bottom"/>
            <w:hideMark/>
          </w:tcPr>
          <w:p w:rsidR="00AE344E" w:rsidRPr="001545FA" w:rsidRDefault="00AE344E" w:rsidP="00AE344E">
            <w:pPr>
              <w:jc w:val="center"/>
              <w:rPr>
                <w:color w:val="000000"/>
                <w:sz w:val="24"/>
                <w:szCs w:val="24"/>
              </w:rPr>
            </w:pPr>
            <w:r w:rsidRPr="001545FA">
              <w:rPr>
                <w:color w:val="000000"/>
                <w:sz w:val="24"/>
                <w:szCs w:val="24"/>
              </w:rPr>
              <w:t>A</w:t>
            </w:r>
          </w:p>
        </w:tc>
        <w:tc>
          <w:tcPr>
            <w:tcW w:w="1458" w:type="dxa"/>
            <w:tcBorders>
              <w:top w:val="nil"/>
              <w:left w:val="nil"/>
              <w:bottom w:val="single" w:sz="4" w:space="0" w:color="auto"/>
              <w:right w:val="single" w:sz="4" w:space="0" w:color="auto"/>
            </w:tcBorders>
            <w:shd w:val="clear" w:color="auto" w:fill="auto"/>
            <w:vAlign w:val="bottom"/>
            <w:hideMark/>
          </w:tcPr>
          <w:p w:rsidR="00AE344E" w:rsidRPr="001545FA" w:rsidRDefault="00AE344E" w:rsidP="00AE344E">
            <w:pPr>
              <w:jc w:val="center"/>
              <w:rPr>
                <w:color w:val="000000"/>
                <w:sz w:val="24"/>
                <w:szCs w:val="24"/>
              </w:rPr>
            </w:pPr>
            <w:r w:rsidRPr="001545FA">
              <w:rPr>
                <w:color w:val="000000"/>
                <w:sz w:val="24"/>
                <w:szCs w:val="24"/>
              </w:rPr>
              <w:t>B</w:t>
            </w:r>
          </w:p>
        </w:tc>
        <w:tc>
          <w:tcPr>
            <w:tcW w:w="882" w:type="dxa"/>
            <w:gridSpan w:val="2"/>
            <w:tcBorders>
              <w:top w:val="nil"/>
              <w:left w:val="nil"/>
              <w:bottom w:val="single" w:sz="4" w:space="0" w:color="auto"/>
              <w:right w:val="single" w:sz="4" w:space="0" w:color="auto"/>
            </w:tcBorders>
            <w:shd w:val="clear" w:color="auto" w:fill="auto"/>
            <w:vAlign w:val="bottom"/>
            <w:hideMark/>
          </w:tcPr>
          <w:p w:rsidR="00AE344E" w:rsidRPr="001545FA" w:rsidRDefault="00AE344E" w:rsidP="00AE344E">
            <w:pPr>
              <w:jc w:val="center"/>
              <w:rPr>
                <w:color w:val="000000"/>
                <w:sz w:val="24"/>
                <w:szCs w:val="24"/>
              </w:rPr>
            </w:pPr>
            <w:r w:rsidRPr="001545FA">
              <w:rPr>
                <w:color w:val="000000"/>
                <w:sz w:val="24"/>
                <w:szCs w:val="24"/>
              </w:rPr>
              <w:t>(1)</w:t>
            </w:r>
          </w:p>
        </w:tc>
        <w:tc>
          <w:tcPr>
            <w:tcW w:w="876" w:type="dxa"/>
            <w:tcBorders>
              <w:top w:val="single" w:sz="4" w:space="0" w:color="auto"/>
              <w:left w:val="nil"/>
              <w:bottom w:val="single" w:sz="4" w:space="0" w:color="auto"/>
              <w:right w:val="single" w:sz="4" w:space="0" w:color="auto"/>
            </w:tcBorders>
            <w:vAlign w:val="bottom"/>
          </w:tcPr>
          <w:p w:rsidR="00AE344E" w:rsidRPr="001545FA" w:rsidRDefault="00AE344E" w:rsidP="00AE344E">
            <w:pPr>
              <w:jc w:val="center"/>
              <w:rPr>
                <w:color w:val="000000"/>
                <w:sz w:val="24"/>
                <w:szCs w:val="24"/>
              </w:rPr>
            </w:pPr>
            <w:r>
              <w:rPr>
                <w:color w:val="000000"/>
                <w:sz w:val="24"/>
                <w:szCs w:val="24"/>
              </w:rPr>
              <w:t>(2)</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44E" w:rsidRPr="001545FA" w:rsidRDefault="00AE344E" w:rsidP="00AE344E">
            <w:pPr>
              <w:jc w:val="center"/>
              <w:rPr>
                <w:color w:val="000000"/>
                <w:sz w:val="24"/>
                <w:szCs w:val="24"/>
              </w:rPr>
            </w:pPr>
            <w:r w:rsidRPr="001545FA">
              <w:rPr>
                <w:color w:val="000000"/>
                <w:sz w:val="24"/>
                <w:szCs w:val="24"/>
              </w:rPr>
              <w:t>(3)</w:t>
            </w:r>
          </w:p>
        </w:tc>
        <w:tc>
          <w:tcPr>
            <w:tcW w:w="1031" w:type="dxa"/>
            <w:tcBorders>
              <w:top w:val="single" w:sz="4" w:space="0" w:color="auto"/>
              <w:left w:val="nil"/>
              <w:bottom w:val="single" w:sz="4" w:space="0" w:color="auto"/>
              <w:right w:val="single" w:sz="4" w:space="0" w:color="auto"/>
            </w:tcBorders>
            <w:shd w:val="clear" w:color="auto" w:fill="auto"/>
            <w:vAlign w:val="bottom"/>
            <w:hideMark/>
          </w:tcPr>
          <w:p w:rsidR="00AE344E" w:rsidRPr="001545FA" w:rsidRDefault="00AE344E" w:rsidP="00AE344E">
            <w:pPr>
              <w:jc w:val="center"/>
              <w:rPr>
                <w:color w:val="000000"/>
                <w:sz w:val="24"/>
                <w:szCs w:val="24"/>
              </w:rPr>
            </w:pPr>
            <w:r w:rsidRPr="001545FA">
              <w:rPr>
                <w:color w:val="000000"/>
                <w:sz w:val="24"/>
                <w:szCs w:val="24"/>
              </w:rPr>
              <w:t>(</w:t>
            </w:r>
            <w:r>
              <w:rPr>
                <w:color w:val="000000"/>
                <w:sz w:val="24"/>
                <w:szCs w:val="24"/>
              </w:rPr>
              <w:t>4</w:t>
            </w:r>
            <w:r w:rsidRPr="001545FA">
              <w:rPr>
                <w:color w:val="000000"/>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E344E" w:rsidRPr="001545FA" w:rsidRDefault="00AE344E" w:rsidP="00AE344E">
            <w:pPr>
              <w:jc w:val="center"/>
              <w:rPr>
                <w:color w:val="000000"/>
                <w:sz w:val="24"/>
                <w:szCs w:val="24"/>
              </w:rPr>
            </w:pPr>
            <w:r w:rsidRPr="001545FA">
              <w:rPr>
                <w:color w:val="000000"/>
                <w:sz w:val="24"/>
                <w:szCs w:val="24"/>
              </w:rPr>
              <w:t>(</w:t>
            </w:r>
            <w:r>
              <w:rPr>
                <w:color w:val="000000"/>
                <w:sz w:val="24"/>
                <w:szCs w:val="24"/>
              </w:rPr>
              <w:t>5</w:t>
            </w:r>
            <w:r w:rsidRPr="001545FA">
              <w:rPr>
                <w:color w:val="000000"/>
                <w:sz w:val="24"/>
                <w:szCs w:val="24"/>
              </w:rPr>
              <w:t>)=(1)-(</w:t>
            </w:r>
            <w:r>
              <w:rPr>
                <w:color w:val="000000"/>
                <w:sz w:val="24"/>
                <w:szCs w:val="24"/>
              </w:rPr>
              <w:t>4</w:t>
            </w:r>
            <w:r w:rsidRPr="001545FA">
              <w:rPr>
                <w:color w:val="000000"/>
                <w:sz w:val="24"/>
                <w:szCs w:val="24"/>
              </w:rPr>
              <w:t>)</w:t>
            </w:r>
          </w:p>
        </w:tc>
        <w:tc>
          <w:tcPr>
            <w:tcW w:w="900" w:type="dxa"/>
            <w:tcBorders>
              <w:top w:val="single" w:sz="4" w:space="0" w:color="auto"/>
              <w:left w:val="nil"/>
              <w:bottom w:val="single" w:sz="4" w:space="0" w:color="auto"/>
              <w:right w:val="single" w:sz="4" w:space="0" w:color="auto"/>
            </w:tcBorders>
            <w:vAlign w:val="bottom"/>
          </w:tcPr>
          <w:p w:rsidR="00AE344E" w:rsidRPr="00AE344E" w:rsidRDefault="00AE344E" w:rsidP="00AE344E">
            <w:pPr>
              <w:jc w:val="center"/>
              <w:rPr>
                <w:color w:val="000000"/>
                <w:sz w:val="24"/>
                <w:szCs w:val="24"/>
              </w:rPr>
            </w:pPr>
            <w:r>
              <w:rPr>
                <w:color w:val="000000"/>
                <w:sz w:val="24"/>
                <w:szCs w:val="24"/>
              </w:rPr>
              <w:t>(6)</w:t>
            </w:r>
            <w:r w:rsidRPr="00AE344E">
              <w:rPr>
                <w:color w:val="000000"/>
                <w:sz w:val="24"/>
                <w:szCs w:val="24"/>
              </w:rPr>
              <w:t> </w:t>
            </w:r>
          </w:p>
        </w:tc>
        <w:tc>
          <w:tcPr>
            <w:tcW w:w="1149" w:type="dxa"/>
            <w:tcBorders>
              <w:top w:val="single" w:sz="4" w:space="0" w:color="auto"/>
              <w:left w:val="single" w:sz="4" w:space="0" w:color="auto"/>
              <w:bottom w:val="single" w:sz="4" w:space="0" w:color="auto"/>
              <w:right w:val="single" w:sz="4" w:space="0" w:color="auto"/>
            </w:tcBorders>
            <w:vAlign w:val="bottom"/>
          </w:tcPr>
          <w:p w:rsidR="00AE344E" w:rsidRPr="00AE344E" w:rsidRDefault="00AE344E" w:rsidP="00AE344E">
            <w:pPr>
              <w:jc w:val="center"/>
              <w:rPr>
                <w:color w:val="000000"/>
                <w:sz w:val="24"/>
                <w:szCs w:val="24"/>
              </w:rPr>
            </w:pPr>
            <w:r>
              <w:rPr>
                <w:color w:val="000000"/>
                <w:sz w:val="24"/>
                <w:szCs w:val="24"/>
              </w:rPr>
              <w:t>(7)</w:t>
            </w:r>
          </w:p>
        </w:tc>
        <w:tc>
          <w:tcPr>
            <w:tcW w:w="1084" w:type="dxa"/>
            <w:tcBorders>
              <w:top w:val="single" w:sz="4" w:space="0" w:color="auto"/>
              <w:left w:val="single" w:sz="4" w:space="0" w:color="auto"/>
              <w:bottom w:val="single" w:sz="4" w:space="0" w:color="auto"/>
              <w:right w:val="single" w:sz="4" w:space="0" w:color="auto"/>
            </w:tcBorders>
            <w:vAlign w:val="bottom"/>
          </w:tcPr>
          <w:p w:rsidR="00AE344E" w:rsidRPr="00AE344E" w:rsidRDefault="00AE344E" w:rsidP="00AE344E">
            <w:pPr>
              <w:jc w:val="center"/>
              <w:rPr>
                <w:color w:val="000000"/>
                <w:sz w:val="24"/>
                <w:szCs w:val="24"/>
              </w:rPr>
            </w:pPr>
            <w:r>
              <w:rPr>
                <w:color w:val="000000"/>
                <w:sz w:val="24"/>
                <w:szCs w:val="24"/>
              </w:rPr>
              <w:t>(8)</w:t>
            </w:r>
          </w:p>
        </w:tc>
      </w:tr>
      <w:tr w:rsidR="00AE344E" w:rsidRPr="001545FA" w:rsidTr="00FA1CA3">
        <w:trPr>
          <w:trHeight w:val="288"/>
        </w:trPr>
        <w:tc>
          <w:tcPr>
            <w:tcW w:w="197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E344E" w:rsidRPr="001545FA" w:rsidRDefault="00AE344E" w:rsidP="00AE344E">
            <w:pPr>
              <w:jc w:val="center"/>
              <w:rPr>
                <w:b/>
                <w:bCs/>
                <w:color w:val="000000"/>
                <w:sz w:val="24"/>
                <w:szCs w:val="24"/>
              </w:rPr>
            </w:pPr>
            <w:r w:rsidRPr="001545FA">
              <w:rPr>
                <w:b/>
                <w:bCs/>
                <w:color w:val="000000"/>
                <w:sz w:val="24"/>
                <w:szCs w:val="24"/>
              </w:rPr>
              <w:t>TỔNG CỘNG</w:t>
            </w:r>
          </w:p>
        </w:tc>
        <w:tc>
          <w:tcPr>
            <w:tcW w:w="876" w:type="dxa"/>
            <w:tcBorders>
              <w:top w:val="nil"/>
              <w:left w:val="nil"/>
              <w:bottom w:val="single" w:sz="4" w:space="0" w:color="auto"/>
              <w:right w:val="single" w:sz="4" w:space="0" w:color="auto"/>
            </w:tcBorders>
            <w:shd w:val="clear" w:color="auto" w:fill="auto"/>
            <w:noWrap/>
            <w:vAlign w:val="bottom"/>
            <w:hideMark/>
          </w:tcPr>
          <w:p w:rsidR="00AE344E" w:rsidRPr="001545FA" w:rsidRDefault="00AE344E" w:rsidP="00AE344E">
            <w:pPr>
              <w:jc w:val="right"/>
              <w:rPr>
                <w:b/>
                <w:bCs/>
                <w:color w:val="000000"/>
                <w:sz w:val="24"/>
                <w:szCs w:val="24"/>
              </w:rPr>
            </w:pPr>
            <w:r w:rsidRPr="001545FA">
              <w:rPr>
                <w:b/>
                <w:bCs/>
                <w:color w:val="000000"/>
                <w:sz w:val="24"/>
                <w:szCs w:val="24"/>
              </w:rPr>
              <w:t xml:space="preserve">      </w:t>
            </w:r>
            <w:r w:rsidRPr="00AE344E">
              <w:rPr>
                <w:b/>
                <w:bCs/>
                <w:color w:val="000000"/>
                <w:sz w:val="24"/>
                <w:szCs w:val="24"/>
              </w:rPr>
              <w:t xml:space="preserve"> 17.796</w:t>
            </w:r>
          </w:p>
        </w:tc>
        <w:tc>
          <w:tcPr>
            <w:tcW w:w="876" w:type="dxa"/>
            <w:tcBorders>
              <w:top w:val="single" w:sz="4" w:space="0" w:color="auto"/>
              <w:left w:val="nil"/>
              <w:bottom w:val="single" w:sz="4" w:space="0" w:color="auto"/>
              <w:right w:val="single" w:sz="4" w:space="0" w:color="auto"/>
            </w:tcBorders>
            <w:vAlign w:val="bottom"/>
          </w:tcPr>
          <w:p w:rsidR="00AE344E" w:rsidRPr="001545FA" w:rsidRDefault="006A7379" w:rsidP="00AE344E">
            <w:pPr>
              <w:jc w:val="right"/>
              <w:rPr>
                <w:b/>
                <w:bCs/>
                <w:color w:val="000000"/>
                <w:sz w:val="24"/>
                <w:szCs w:val="24"/>
              </w:rPr>
            </w:pPr>
            <w:r>
              <w:rPr>
                <w:b/>
                <w:bCs/>
                <w:color w:val="000000"/>
                <w:sz w:val="24"/>
                <w:szCs w:val="24"/>
              </w:rPr>
              <w:t>25.956</w:t>
            </w:r>
          </w:p>
        </w:tc>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AE344E" w:rsidRPr="001545FA" w:rsidRDefault="001423B7" w:rsidP="00AE344E">
            <w:pPr>
              <w:jc w:val="right"/>
              <w:rPr>
                <w:b/>
                <w:bCs/>
                <w:color w:val="000000"/>
                <w:sz w:val="24"/>
                <w:szCs w:val="24"/>
              </w:rPr>
            </w:pPr>
            <w:r w:rsidRPr="001423B7">
              <w:rPr>
                <w:b/>
                <w:bCs/>
                <w:color w:val="000000"/>
                <w:sz w:val="24"/>
                <w:szCs w:val="24"/>
              </w:rPr>
              <w:t>4.801</w:t>
            </w:r>
          </w:p>
        </w:tc>
        <w:tc>
          <w:tcPr>
            <w:tcW w:w="1031" w:type="dxa"/>
            <w:tcBorders>
              <w:top w:val="nil"/>
              <w:left w:val="nil"/>
              <w:bottom w:val="single" w:sz="4" w:space="0" w:color="auto"/>
              <w:right w:val="single" w:sz="4" w:space="0" w:color="auto"/>
            </w:tcBorders>
            <w:shd w:val="clear" w:color="auto" w:fill="auto"/>
            <w:noWrap/>
            <w:vAlign w:val="bottom"/>
            <w:hideMark/>
          </w:tcPr>
          <w:p w:rsidR="00AE344E" w:rsidRPr="004337D2" w:rsidRDefault="00AE344E" w:rsidP="001423B7">
            <w:pPr>
              <w:jc w:val="right"/>
              <w:rPr>
                <w:b/>
                <w:bCs/>
                <w:color w:val="000000"/>
                <w:sz w:val="24"/>
                <w:szCs w:val="24"/>
              </w:rPr>
            </w:pPr>
            <w:r w:rsidRPr="004337D2">
              <w:rPr>
                <w:b/>
                <w:bCs/>
                <w:color w:val="000000"/>
                <w:sz w:val="24"/>
                <w:szCs w:val="24"/>
              </w:rPr>
              <w:t xml:space="preserve">      3.15</w:t>
            </w:r>
            <w:r w:rsidR="001423B7" w:rsidRPr="004337D2">
              <w:rPr>
                <w:b/>
                <w:bCs/>
                <w:color w:val="000000"/>
                <w:sz w:val="24"/>
                <w:szCs w:val="24"/>
              </w:rPr>
              <w:t>2</w:t>
            </w:r>
            <w:r w:rsidRPr="004337D2">
              <w:rPr>
                <w:b/>
                <w:bCs/>
                <w:color w:val="00000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AE344E" w:rsidRPr="001545FA" w:rsidRDefault="001423B7" w:rsidP="00AE344E">
            <w:pPr>
              <w:jc w:val="right"/>
              <w:rPr>
                <w:b/>
                <w:bCs/>
                <w:color w:val="000000"/>
                <w:sz w:val="24"/>
                <w:szCs w:val="24"/>
              </w:rPr>
            </w:pPr>
            <w:r>
              <w:rPr>
                <w:b/>
                <w:bCs/>
                <w:color w:val="000000"/>
                <w:sz w:val="24"/>
                <w:szCs w:val="24"/>
              </w:rPr>
              <w:t xml:space="preserve">                   14.644</w:t>
            </w:r>
            <w:r w:rsidR="00AE344E" w:rsidRPr="001545FA">
              <w:rPr>
                <w:b/>
                <w:bCs/>
                <w:color w:val="000000"/>
                <w:sz w:val="24"/>
                <w:szCs w:val="24"/>
              </w:rPr>
              <w:t xml:space="preserve"> </w:t>
            </w:r>
          </w:p>
        </w:tc>
        <w:tc>
          <w:tcPr>
            <w:tcW w:w="900" w:type="dxa"/>
            <w:tcBorders>
              <w:top w:val="single" w:sz="4" w:space="0" w:color="auto"/>
              <w:left w:val="nil"/>
              <w:bottom w:val="single" w:sz="4" w:space="0" w:color="auto"/>
              <w:right w:val="single" w:sz="4" w:space="0" w:color="auto"/>
            </w:tcBorders>
            <w:vAlign w:val="bottom"/>
          </w:tcPr>
          <w:p w:rsidR="00AE344E" w:rsidRPr="00AE344E" w:rsidRDefault="00AE344E" w:rsidP="00AE344E">
            <w:pPr>
              <w:jc w:val="right"/>
              <w:rPr>
                <w:b/>
                <w:bCs/>
                <w:color w:val="000000"/>
                <w:sz w:val="24"/>
                <w:szCs w:val="24"/>
              </w:rPr>
            </w:pPr>
            <w:r w:rsidRPr="00AE344E">
              <w:rPr>
                <w:b/>
                <w:bCs/>
                <w:color w:val="000000"/>
                <w:sz w:val="24"/>
                <w:szCs w:val="24"/>
              </w:rPr>
              <w:t xml:space="preserve">         34.094 </w:t>
            </w:r>
          </w:p>
        </w:tc>
        <w:tc>
          <w:tcPr>
            <w:tcW w:w="1149" w:type="dxa"/>
            <w:tcBorders>
              <w:top w:val="single" w:sz="4" w:space="0" w:color="auto"/>
              <w:left w:val="single" w:sz="4" w:space="0" w:color="auto"/>
              <w:bottom w:val="single" w:sz="4" w:space="0" w:color="auto"/>
              <w:right w:val="single" w:sz="4" w:space="0" w:color="auto"/>
            </w:tcBorders>
            <w:vAlign w:val="bottom"/>
          </w:tcPr>
          <w:p w:rsidR="00AE344E" w:rsidRPr="004337D2" w:rsidRDefault="00AE344E" w:rsidP="00AE344E">
            <w:pPr>
              <w:jc w:val="right"/>
              <w:rPr>
                <w:b/>
                <w:bCs/>
                <w:color w:val="000000"/>
                <w:sz w:val="24"/>
                <w:szCs w:val="24"/>
              </w:rPr>
            </w:pPr>
            <w:r w:rsidRPr="004337D2">
              <w:rPr>
                <w:b/>
                <w:bCs/>
                <w:color w:val="000000"/>
                <w:sz w:val="24"/>
                <w:szCs w:val="24"/>
              </w:rPr>
              <w:t xml:space="preserve">          14.566 </w:t>
            </w:r>
          </w:p>
        </w:tc>
        <w:tc>
          <w:tcPr>
            <w:tcW w:w="1090" w:type="dxa"/>
            <w:gridSpan w:val="2"/>
            <w:tcBorders>
              <w:top w:val="single" w:sz="4" w:space="0" w:color="auto"/>
              <w:left w:val="single" w:sz="4" w:space="0" w:color="auto"/>
              <w:bottom w:val="single" w:sz="4" w:space="0" w:color="auto"/>
              <w:right w:val="single" w:sz="4" w:space="0" w:color="auto"/>
            </w:tcBorders>
            <w:vAlign w:val="bottom"/>
          </w:tcPr>
          <w:p w:rsidR="00AE344E" w:rsidRPr="00AE344E" w:rsidRDefault="00AE344E" w:rsidP="00AE344E">
            <w:pPr>
              <w:jc w:val="right"/>
              <w:rPr>
                <w:b/>
                <w:bCs/>
                <w:color w:val="000000"/>
                <w:sz w:val="24"/>
                <w:szCs w:val="24"/>
              </w:rPr>
            </w:pPr>
            <w:r w:rsidRPr="00AE344E">
              <w:rPr>
                <w:b/>
                <w:bCs/>
                <w:color w:val="000000"/>
                <w:sz w:val="24"/>
                <w:szCs w:val="24"/>
              </w:rPr>
              <w:t xml:space="preserve">  </w:t>
            </w:r>
            <w:r>
              <w:rPr>
                <w:b/>
                <w:bCs/>
                <w:color w:val="000000"/>
                <w:sz w:val="24"/>
                <w:szCs w:val="24"/>
              </w:rPr>
              <w:t>78</w:t>
            </w:r>
            <w:r w:rsidRPr="00AE344E">
              <w:rPr>
                <w:b/>
                <w:bCs/>
                <w:color w:val="000000"/>
                <w:sz w:val="24"/>
                <w:szCs w:val="24"/>
              </w:rPr>
              <w:t xml:space="preserve">        </w:t>
            </w:r>
          </w:p>
        </w:tc>
      </w:tr>
      <w:tr w:rsidR="00AE344E" w:rsidRPr="001545FA" w:rsidTr="00FA1CA3">
        <w:trPr>
          <w:gridAfter w:val="1"/>
          <w:wAfter w:w="6" w:type="dxa"/>
          <w:trHeight w:val="288"/>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AE344E" w:rsidRPr="004F029F" w:rsidRDefault="00AE344E" w:rsidP="00AE344E">
            <w:pPr>
              <w:jc w:val="right"/>
              <w:rPr>
                <w:color w:val="000000"/>
                <w:sz w:val="24"/>
                <w:szCs w:val="24"/>
              </w:rPr>
            </w:pPr>
            <w:r w:rsidRPr="004F029F">
              <w:rPr>
                <w:color w:val="000000"/>
                <w:sz w:val="24"/>
                <w:szCs w:val="24"/>
              </w:rPr>
              <w:t>1</w:t>
            </w:r>
          </w:p>
        </w:tc>
        <w:tc>
          <w:tcPr>
            <w:tcW w:w="1458" w:type="dxa"/>
            <w:tcBorders>
              <w:top w:val="nil"/>
              <w:left w:val="nil"/>
              <w:bottom w:val="single" w:sz="4" w:space="0" w:color="auto"/>
              <w:right w:val="single" w:sz="4" w:space="0" w:color="auto"/>
            </w:tcBorders>
            <w:shd w:val="clear" w:color="auto" w:fill="auto"/>
            <w:vAlign w:val="bottom"/>
            <w:hideMark/>
          </w:tcPr>
          <w:p w:rsidR="00AE344E" w:rsidRPr="004F029F" w:rsidRDefault="00AE344E" w:rsidP="00AE344E">
            <w:pPr>
              <w:rPr>
                <w:color w:val="000000"/>
                <w:sz w:val="24"/>
                <w:szCs w:val="24"/>
              </w:rPr>
            </w:pPr>
            <w:r w:rsidRPr="004F029F">
              <w:rPr>
                <w:color w:val="000000"/>
                <w:sz w:val="24"/>
                <w:szCs w:val="24"/>
              </w:rPr>
              <w:t>Đài PTTH Đồng Nai</w:t>
            </w:r>
          </w:p>
        </w:tc>
        <w:tc>
          <w:tcPr>
            <w:tcW w:w="882" w:type="dxa"/>
            <w:gridSpan w:val="2"/>
            <w:tcBorders>
              <w:top w:val="nil"/>
              <w:left w:val="nil"/>
              <w:bottom w:val="single" w:sz="4" w:space="0" w:color="auto"/>
              <w:right w:val="single" w:sz="4" w:space="0" w:color="auto"/>
            </w:tcBorders>
            <w:shd w:val="clear" w:color="auto" w:fill="auto"/>
            <w:noWrap/>
            <w:vAlign w:val="bottom"/>
            <w:hideMark/>
          </w:tcPr>
          <w:p w:rsidR="00AE344E" w:rsidRPr="004F029F" w:rsidRDefault="00AE344E" w:rsidP="00AE344E">
            <w:pPr>
              <w:jc w:val="right"/>
              <w:rPr>
                <w:color w:val="000000"/>
                <w:sz w:val="24"/>
                <w:szCs w:val="24"/>
              </w:rPr>
            </w:pPr>
            <w:r w:rsidRPr="004F029F">
              <w:rPr>
                <w:color w:val="000000"/>
                <w:sz w:val="24"/>
                <w:szCs w:val="24"/>
              </w:rPr>
              <w:t xml:space="preserve">        </w:t>
            </w:r>
            <w:r w:rsidRPr="00AE344E">
              <w:rPr>
                <w:color w:val="000000"/>
                <w:sz w:val="24"/>
                <w:szCs w:val="24"/>
              </w:rPr>
              <w:t xml:space="preserve"> 12.478</w:t>
            </w:r>
          </w:p>
        </w:tc>
        <w:tc>
          <w:tcPr>
            <w:tcW w:w="876" w:type="dxa"/>
            <w:tcBorders>
              <w:top w:val="single" w:sz="4" w:space="0" w:color="auto"/>
              <w:left w:val="nil"/>
              <w:bottom w:val="single" w:sz="4" w:space="0" w:color="auto"/>
              <w:right w:val="single" w:sz="4" w:space="0" w:color="auto"/>
            </w:tcBorders>
            <w:vAlign w:val="bottom"/>
          </w:tcPr>
          <w:p w:rsidR="00AE344E" w:rsidRPr="004F029F" w:rsidRDefault="006A7379" w:rsidP="00AE344E">
            <w:pPr>
              <w:jc w:val="right"/>
              <w:rPr>
                <w:color w:val="000000"/>
                <w:sz w:val="24"/>
                <w:szCs w:val="24"/>
              </w:rPr>
            </w:pPr>
            <w:r>
              <w:rPr>
                <w:color w:val="000000"/>
                <w:sz w:val="24"/>
                <w:szCs w:val="24"/>
              </w:rPr>
              <w:t>22.358</w:t>
            </w:r>
          </w:p>
        </w:tc>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AE344E" w:rsidRPr="004F029F" w:rsidRDefault="001423B7" w:rsidP="00AE344E">
            <w:pPr>
              <w:jc w:val="right"/>
              <w:rPr>
                <w:color w:val="000000"/>
                <w:sz w:val="24"/>
                <w:szCs w:val="24"/>
              </w:rPr>
            </w:pPr>
            <w:r w:rsidRPr="001423B7">
              <w:rPr>
                <w:color w:val="000000"/>
                <w:sz w:val="24"/>
                <w:szCs w:val="24"/>
              </w:rPr>
              <w:t>176</w:t>
            </w:r>
          </w:p>
        </w:tc>
        <w:tc>
          <w:tcPr>
            <w:tcW w:w="1031" w:type="dxa"/>
            <w:tcBorders>
              <w:top w:val="nil"/>
              <w:left w:val="nil"/>
              <w:bottom w:val="single" w:sz="4" w:space="0" w:color="auto"/>
              <w:right w:val="single" w:sz="4" w:space="0" w:color="auto"/>
            </w:tcBorders>
            <w:shd w:val="clear" w:color="auto" w:fill="auto"/>
            <w:noWrap/>
            <w:vAlign w:val="bottom"/>
            <w:hideMark/>
          </w:tcPr>
          <w:p w:rsidR="00AE344E" w:rsidRPr="004337D2" w:rsidRDefault="00AE344E" w:rsidP="001423B7">
            <w:pPr>
              <w:jc w:val="right"/>
              <w:rPr>
                <w:b/>
                <w:color w:val="000000"/>
                <w:sz w:val="24"/>
                <w:szCs w:val="24"/>
              </w:rPr>
            </w:pPr>
            <w:r w:rsidRPr="004337D2">
              <w:rPr>
                <w:b/>
                <w:color w:val="000000"/>
                <w:sz w:val="24"/>
                <w:szCs w:val="24"/>
              </w:rPr>
              <w:t xml:space="preserve">           176 </w:t>
            </w:r>
          </w:p>
        </w:tc>
        <w:tc>
          <w:tcPr>
            <w:tcW w:w="1417" w:type="dxa"/>
            <w:tcBorders>
              <w:top w:val="nil"/>
              <w:left w:val="nil"/>
              <w:bottom w:val="single" w:sz="4" w:space="0" w:color="auto"/>
              <w:right w:val="single" w:sz="4" w:space="0" w:color="auto"/>
            </w:tcBorders>
            <w:shd w:val="clear" w:color="auto" w:fill="auto"/>
            <w:noWrap/>
            <w:vAlign w:val="bottom"/>
            <w:hideMark/>
          </w:tcPr>
          <w:p w:rsidR="00AE344E" w:rsidRPr="004F029F" w:rsidRDefault="001423B7" w:rsidP="00AE344E">
            <w:pPr>
              <w:jc w:val="right"/>
              <w:rPr>
                <w:color w:val="000000"/>
                <w:sz w:val="24"/>
                <w:szCs w:val="24"/>
              </w:rPr>
            </w:pPr>
            <w:r>
              <w:rPr>
                <w:color w:val="000000"/>
                <w:sz w:val="24"/>
                <w:szCs w:val="24"/>
              </w:rPr>
              <w:t xml:space="preserve">                     12.302</w:t>
            </w:r>
            <w:r w:rsidR="00AE344E" w:rsidRPr="004F029F">
              <w:rPr>
                <w:color w:val="000000"/>
                <w:sz w:val="24"/>
                <w:szCs w:val="24"/>
              </w:rPr>
              <w:t xml:space="preserve"> </w:t>
            </w:r>
          </w:p>
        </w:tc>
        <w:tc>
          <w:tcPr>
            <w:tcW w:w="900" w:type="dxa"/>
            <w:tcBorders>
              <w:top w:val="single" w:sz="4" w:space="0" w:color="auto"/>
              <w:left w:val="nil"/>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26.866 </w:t>
            </w:r>
          </w:p>
        </w:tc>
        <w:tc>
          <w:tcPr>
            <w:tcW w:w="1149" w:type="dxa"/>
            <w:tcBorders>
              <w:top w:val="single" w:sz="4" w:space="0" w:color="auto"/>
              <w:left w:val="single" w:sz="4" w:space="0" w:color="auto"/>
              <w:bottom w:val="single" w:sz="4" w:space="0" w:color="auto"/>
              <w:right w:val="single" w:sz="4" w:space="0" w:color="auto"/>
            </w:tcBorders>
            <w:vAlign w:val="bottom"/>
          </w:tcPr>
          <w:p w:rsidR="00AE344E" w:rsidRPr="004337D2" w:rsidRDefault="00AE344E" w:rsidP="00AE344E">
            <w:pPr>
              <w:jc w:val="right"/>
              <w:rPr>
                <w:b/>
                <w:color w:val="000000"/>
                <w:sz w:val="24"/>
                <w:szCs w:val="24"/>
              </w:rPr>
            </w:pPr>
            <w:r w:rsidRPr="004337D2">
              <w:rPr>
                <w:b/>
                <w:color w:val="000000"/>
                <w:sz w:val="24"/>
                <w:szCs w:val="24"/>
              </w:rPr>
              <w:t xml:space="preserve">           12.302 </w:t>
            </w:r>
          </w:p>
        </w:tc>
        <w:tc>
          <w:tcPr>
            <w:tcW w:w="1084" w:type="dxa"/>
            <w:tcBorders>
              <w:top w:val="single" w:sz="4" w:space="0" w:color="auto"/>
              <w:left w:val="single" w:sz="4" w:space="0" w:color="auto"/>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   </w:t>
            </w:r>
          </w:p>
        </w:tc>
      </w:tr>
      <w:tr w:rsidR="00AE344E" w:rsidRPr="001545FA" w:rsidTr="00FA1CA3">
        <w:trPr>
          <w:gridAfter w:val="1"/>
          <w:wAfter w:w="6" w:type="dxa"/>
          <w:trHeight w:val="636"/>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AE344E" w:rsidRPr="004F029F" w:rsidRDefault="00AE344E" w:rsidP="00AE344E">
            <w:pPr>
              <w:jc w:val="right"/>
              <w:rPr>
                <w:color w:val="000000"/>
                <w:sz w:val="24"/>
                <w:szCs w:val="24"/>
              </w:rPr>
            </w:pPr>
            <w:r w:rsidRPr="004F029F">
              <w:rPr>
                <w:color w:val="000000"/>
                <w:sz w:val="24"/>
                <w:szCs w:val="24"/>
              </w:rPr>
              <w:t>2</w:t>
            </w:r>
          </w:p>
        </w:tc>
        <w:tc>
          <w:tcPr>
            <w:tcW w:w="1458" w:type="dxa"/>
            <w:tcBorders>
              <w:top w:val="nil"/>
              <w:left w:val="nil"/>
              <w:bottom w:val="single" w:sz="4" w:space="0" w:color="auto"/>
              <w:right w:val="single" w:sz="4" w:space="0" w:color="auto"/>
            </w:tcBorders>
            <w:shd w:val="clear" w:color="auto" w:fill="auto"/>
            <w:vAlign w:val="bottom"/>
            <w:hideMark/>
          </w:tcPr>
          <w:p w:rsidR="00AE344E" w:rsidRPr="004F029F" w:rsidRDefault="00AE344E" w:rsidP="002D7EB8">
            <w:pPr>
              <w:rPr>
                <w:color w:val="000000"/>
                <w:sz w:val="24"/>
                <w:szCs w:val="24"/>
              </w:rPr>
            </w:pPr>
            <w:r w:rsidRPr="004F029F">
              <w:rPr>
                <w:color w:val="000000"/>
                <w:sz w:val="24"/>
                <w:szCs w:val="24"/>
              </w:rPr>
              <w:t xml:space="preserve">Trung tâm Tư vấn hỗ trợ doanh nghiệp </w:t>
            </w:r>
          </w:p>
        </w:tc>
        <w:tc>
          <w:tcPr>
            <w:tcW w:w="882" w:type="dxa"/>
            <w:gridSpan w:val="2"/>
            <w:tcBorders>
              <w:top w:val="nil"/>
              <w:left w:val="nil"/>
              <w:bottom w:val="single" w:sz="4" w:space="0" w:color="auto"/>
              <w:right w:val="single" w:sz="4" w:space="0" w:color="auto"/>
            </w:tcBorders>
            <w:shd w:val="clear" w:color="auto" w:fill="auto"/>
            <w:noWrap/>
            <w:vAlign w:val="bottom"/>
            <w:hideMark/>
          </w:tcPr>
          <w:p w:rsidR="00AE344E" w:rsidRPr="004F029F" w:rsidRDefault="00AE344E" w:rsidP="00AE344E">
            <w:pPr>
              <w:jc w:val="right"/>
              <w:rPr>
                <w:color w:val="000000"/>
                <w:sz w:val="24"/>
                <w:szCs w:val="24"/>
              </w:rPr>
            </w:pPr>
            <w:r w:rsidRPr="004F029F">
              <w:rPr>
                <w:color w:val="000000"/>
                <w:sz w:val="24"/>
                <w:szCs w:val="24"/>
              </w:rPr>
              <w:t xml:space="preserve">             </w:t>
            </w:r>
            <w:r w:rsidRPr="00AE344E">
              <w:rPr>
                <w:color w:val="000000"/>
                <w:sz w:val="24"/>
                <w:szCs w:val="24"/>
              </w:rPr>
              <w:t xml:space="preserve"> 906</w:t>
            </w:r>
          </w:p>
        </w:tc>
        <w:tc>
          <w:tcPr>
            <w:tcW w:w="876" w:type="dxa"/>
            <w:tcBorders>
              <w:top w:val="single" w:sz="4" w:space="0" w:color="auto"/>
              <w:left w:val="nil"/>
              <w:bottom w:val="single" w:sz="4" w:space="0" w:color="auto"/>
              <w:right w:val="single" w:sz="4" w:space="0" w:color="auto"/>
            </w:tcBorders>
            <w:vAlign w:val="bottom"/>
          </w:tcPr>
          <w:p w:rsidR="00AE344E" w:rsidRPr="004F029F" w:rsidRDefault="00AE344E" w:rsidP="00AE344E">
            <w:pPr>
              <w:jc w:val="right"/>
              <w:rPr>
                <w:color w:val="000000"/>
                <w:sz w:val="24"/>
                <w:szCs w:val="24"/>
              </w:rPr>
            </w:pPr>
            <w:r w:rsidRPr="00AE344E">
              <w:rPr>
                <w:color w:val="000000"/>
                <w:sz w:val="24"/>
                <w:szCs w:val="24"/>
              </w:rPr>
              <w:t>180</w:t>
            </w:r>
          </w:p>
        </w:tc>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AE344E" w:rsidRPr="004F029F" w:rsidRDefault="00AE344E" w:rsidP="001423B7">
            <w:pPr>
              <w:jc w:val="right"/>
              <w:rPr>
                <w:color w:val="000000"/>
                <w:sz w:val="24"/>
                <w:szCs w:val="24"/>
              </w:rPr>
            </w:pPr>
            <w:r w:rsidRPr="004F029F">
              <w:rPr>
                <w:color w:val="000000"/>
                <w:sz w:val="24"/>
                <w:szCs w:val="24"/>
              </w:rPr>
              <w:t xml:space="preserve">              </w:t>
            </w:r>
            <w:r w:rsidR="001423B7">
              <w:rPr>
                <w:color w:val="000000"/>
                <w:sz w:val="24"/>
                <w:szCs w:val="24"/>
              </w:rPr>
              <w:t>4</w:t>
            </w:r>
            <w:r w:rsidRPr="004F029F">
              <w:rPr>
                <w:color w:val="000000"/>
                <w:sz w:val="24"/>
                <w:szCs w:val="24"/>
              </w:rPr>
              <w:t xml:space="preserve"> </w:t>
            </w:r>
          </w:p>
        </w:tc>
        <w:tc>
          <w:tcPr>
            <w:tcW w:w="1031" w:type="dxa"/>
            <w:tcBorders>
              <w:top w:val="nil"/>
              <w:left w:val="nil"/>
              <w:bottom w:val="single" w:sz="4" w:space="0" w:color="auto"/>
              <w:right w:val="single" w:sz="4" w:space="0" w:color="auto"/>
            </w:tcBorders>
            <w:shd w:val="clear" w:color="auto" w:fill="auto"/>
            <w:noWrap/>
            <w:vAlign w:val="bottom"/>
            <w:hideMark/>
          </w:tcPr>
          <w:p w:rsidR="00AE344E" w:rsidRPr="004337D2" w:rsidRDefault="001423B7" w:rsidP="00AE344E">
            <w:pPr>
              <w:jc w:val="right"/>
              <w:rPr>
                <w:b/>
                <w:color w:val="000000"/>
                <w:sz w:val="24"/>
                <w:szCs w:val="24"/>
              </w:rPr>
            </w:pPr>
            <w:r w:rsidRPr="004337D2">
              <w:rPr>
                <w:b/>
                <w:color w:val="000000"/>
                <w:sz w:val="24"/>
                <w:szCs w:val="24"/>
              </w:rPr>
              <w:t xml:space="preserve">             94</w:t>
            </w:r>
            <w:r w:rsidR="00AE344E" w:rsidRPr="004337D2">
              <w:rPr>
                <w:b/>
                <w:color w:val="00000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AE344E" w:rsidRPr="004F029F" w:rsidRDefault="001423B7" w:rsidP="00AE344E">
            <w:pPr>
              <w:jc w:val="right"/>
              <w:rPr>
                <w:color w:val="000000"/>
                <w:sz w:val="24"/>
                <w:szCs w:val="24"/>
              </w:rPr>
            </w:pPr>
            <w:r>
              <w:rPr>
                <w:color w:val="000000"/>
                <w:sz w:val="24"/>
                <w:szCs w:val="24"/>
              </w:rPr>
              <w:t xml:space="preserve">                          813</w:t>
            </w:r>
            <w:r w:rsidR="00AE344E" w:rsidRPr="004F029F">
              <w:rPr>
                <w:color w:val="000000"/>
                <w:sz w:val="24"/>
                <w:szCs w:val="24"/>
              </w:rPr>
              <w:t xml:space="preserve"> </w:t>
            </w:r>
          </w:p>
        </w:tc>
        <w:tc>
          <w:tcPr>
            <w:tcW w:w="900" w:type="dxa"/>
            <w:tcBorders>
              <w:top w:val="single" w:sz="4" w:space="0" w:color="auto"/>
              <w:left w:val="nil"/>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735 </w:t>
            </w:r>
          </w:p>
        </w:tc>
        <w:tc>
          <w:tcPr>
            <w:tcW w:w="1149" w:type="dxa"/>
            <w:tcBorders>
              <w:top w:val="single" w:sz="4" w:space="0" w:color="auto"/>
              <w:left w:val="single" w:sz="4" w:space="0" w:color="auto"/>
              <w:bottom w:val="single" w:sz="4" w:space="0" w:color="auto"/>
              <w:right w:val="single" w:sz="4" w:space="0" w:color="auto"/>
            </w:tcBorders>
            <w:vAlign w:val="bottom"/>
          </w:tcPr>
          <w:p w:rsidR="00AE344E" w:rsidRPr="004337D2" w:rsidRDefault="00AE344E" w:rsidP="00AE344E">
            <w:pPr>
              <w:jc w:val="right"/>
              <w:rPr>
                <w:b/>
                <w:color w:val="000000"/>
                <w:sz w:val="24"/>
                <w:szCs w:val="24"/>
              </w:rPr>
            </w:pPr>
            <w:r w:rsidRPr="004337D2">
              <w:rPr>
                <w:b/>
                <w:color w:val="000000"/>
                <w:sz w:val="24"/>
                <w:szCs w:val="24"/>
              </w:rPr>
              <w:t xml:space="preserve">                735 </w:t>
            </w:r>
          </w:p>
        </w:tc>
        <w:tc>
          <w:tcPr>
            <w:tcW w:w="1084" w:type="dxa"/>
            <w:tcBorders>
              <w:top w:val="single" w:sz="4" w:space="0" w:color="auto"/>
              <w:left w:val="single" w:sz="4" w:space="0" w:color="auto"/>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78 </w:t>
            </w:r>
          </w:p>
        </w:tc>
      </w:tr>
      <w:tr w:rsidR="00AE344E" w:rsidRPr="001545FA" w:rsidTr="00FA1CA3">
        <w:trPr>
          <w:gridAfter w:val="1"/>
          <w:wAfter w:w="6" w:type="dxa"/>
          <w:trHeight w:val="432"/>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AE344E" w:rsidRPr="004F029F" w:rsidRDefault="00AE344E" w:rsidP="00AE344E">
            <w:pPr>
              <w:jc w:val="right"/>
              <w:rPr>
                <w:color w:val="000000"/>
                <w:sz w:val="24"/>
                <w:szCs w:val="24"/>
              </w:rPr>
            </w:pPr>
            <w:r w:rsidRPr="004F029F">
              <w:rPr>
                <w:color w:val="000000"/>
                <w:sz w:val="24"/>
                <w:szCs w:val="24"/>
              </w:rPr>
              <w:t>3</w:t>
            </w:r>
          </w:p>
        </w:tc>
        <w:tc>
          <w:tcPr>
            <w:tcW w:w="1458" w:type="dxa"/>
            <w:tcBorders>
              <w:top w:val="nil"/>
              <w:left w:val="nil"/>
              <w:bottom w:val="single" w:sz="4" w:space="0" w:color="auto"/>
              <w:right w:val="single" w:sz="4" w:space="0" w:color="auto"/>
            </w:tcBorders>
            <w:shd w:val="clear" w:color="auto" w:fill="auto"/>
            <w:vAlign w:val="bottom"/>
            <w:hideMark/>
          </w:tcPr>
          <w:p w:rsidR="00AE344E" w:rsidRPr="004F029F" w:rsidRDefault="00AE344E" w:rsidP="002D7EB8">
            <w:pPr>
              <w:rPr>
                <w:color w:val="000000"/>
                <w:sz w:val="24"/>
                <w:szCs w:val="24"/>
              </w:rPr>
            </w:pPr>
            <w:r w:rsidRPr="004F029F">
              <w:rPr>
                <w:color w:val="000000"/>
                <w:sz w:val="24"/>
                <w:szCs w:val="24"/>
              </w:rPr>
              <w:t xml:space="preserve">Trung tâm Dịch vụ việc làm </w:t>
            </w:r>
          </w:p>
        </w:tc>
        <w:tc>
          <w:tcPr>
            <w:tcW w:w="882" w:type="dxa"/>
            <w:gridSpan w:val="2"/>
            <w:tcBorders>
              <w:top w:val="nil"/>
              <w:left w:val="nil"/>
              <w:bottom w:val="single" w:sz="4" w:space="0" w:color="auto"/>
              <w:right w:val="single" w:sz="4" w:space="0" w:color="auto"/>
            </w:tcBorders>
            <w:shd w:val="clear" w:color="auto" w:fill="auto"/>
            <w:noWrap/>
            <w:vAlign w:val="bottom"/>
            <w:hideMark/>
          </w:tcPr>
          <w:p w:rsidR="00AE344E" w:rsidRPr="004F029F" w:rsidRDefault="00AE344E" w:rsidP="00AE344E">
            <w:pPr>
              <w:jc w:val="right"/>
              <w:rPr>
                <w:color w:val="000000"/>
                <w:sz w:val="24"/>
                <w:szCs w:val="24"/>
              </w:rPr>
            </w:pPr>
            <w:r w:rsidRPr="004F029F">
              <w:rPr>
                <w:color w:val="000000"/>
                <w:sz w:val="24"/>
                <w:szCs w:val="24"/>
              </w:rPr>
              <w:t xml:space="preserve">          </w:t>
            </w:r>
            <w:r w:rsidRPr="00AE344E">
              <w:rPr>
                <w:color w:val="000000"/>
                <w:sz w:val="24"/>
                <w:szCs w:val="24"/>
              </w:rPr>
              <w:t xml:space="preserve"> 1.226</w:t>
            </w:r>
          </w:p>
        </w:tc>
        <w:tc>
          <w:tcPr>
            <w:tcW w:w="876" w:type="dxa"/>
            <w:tcBorders>
              <w:top w:val="single" w:sz="4" w:space="0" w:color="auto"/>
              <w:left w:val="nil"/>
              <w:bottom w:val="single" w:sz="4" w:space="0" w:color="auto"/>
              <w:right w:val="single" w:sz="4" w:space="0" w:color="auto"/>
            </w:tcBorders>
            <w:vAlign w:val="bottom"/>
          </w:tcPr>
          <w:p w:rsidR="00AE344E" w:rsidRPr="00CD5E31" w:rsidRDefault="00AE344E" w:rsidP="00AE344E">
            <w:pPr>
              <w:jc w:val="right"/>
              <w:rPr>
                <w:sz w:val="24"/>
                <w:szCs w:val="24"/>
              </w:rPr>
            </w:pPr>
            <w:r w:rsidRPr="00CD5E31">
              <w:rPr>
                <w:sz w:val="24"/>
                <w:szCs w:val="24"/>
              </w:rPr>
              <w:t>704</w:t>
            </w:r>
          </w:p>
        </w:tc>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AE344E" w:rsidRPr="004F029F" w:rsidRDefault="00AE344E" w:rsidP="001423B7">
            <w:pPr>
              <w:jc w:val="right"/>
              <w:rPr>
                <w:color w:val="000000"/>
                <w:sz w:val="24"/>
                <w:szCs w:val="24"/>
              </w:rPr>
            </w:pPr>
            <w:r w:rsidRPr="004F029F">
              <w:rPr>
                <w:color w:val="000000"/>
                <w:sz w:val="24"/>
                <w:szCs w:val="24"/>
              </w:rPr>
              <w:t xml:space="preserve">            27</w:t>
            </w:r>
            <w:r w:rsidR="001423B7">
              <w:rPr>
                <w:color w:val="000000"/>
                <w:sz w:val="24"/>
                <w:szCs w:val="24"/>
              </w:rPr>
              <w:t>3</w:t>
            </w:r>
            <w:r w:rsidRPr="004F029F">
              <w:rPr>
                <w:color w:val="000000"/>
                <w:sz w:val="24"/>
                <w:szCs w:val="24"/>
              </w:rPr>
              <w:t xml:space="preserve"> </w:t>
            </w:r>
          </w:p>
        </w:tc>
        <w:tc>
          <w:tcPr>
            <w:tcW w:w="1031" w:type="dxa"/>
            <w:tcBorders>
              <w:top w:val="nil"/>
              <w:left w:val="nil"/>
              <w:bottom w:val="single" w:sz="4" w:space="0" w:color="auto"/>
              <w:right w:val="single" w:sz="4" w:space="0" w:color="auto"/>
            </w:tcBorders>
            <w:shd w:val="clear" w:color="auto" w:fill="auto"/>
            <w:noWrap/>
            <w:vAlign w:val="bottom"/>
            <w:hideMark/>
          </w:tcPr>
          <w:p w:rsidR="00AE344E" w:rsidRPr="004337D2" w:rsidRDefault="00AE344E" w:rsidP="001423B7">
            <w:pPr>
              <w:jc w:val="right"/>
              <w:rPr>
                <w:b/>
                <w:color w:val="000000"/>
                <w:sz w:val="24"/>
                <w:szCs w:val="24"/>
              </w:rPr>
            </w:pPr>
            <w:r w:rsidRPr="004337D2">
              <w:rPr>
                <w:b/>
                <w:color w:val="000000"/>
                <w:sz w:val="24"/>
                <w:szCs w:val="24"/>
              </w:rPr>
              <w:t xml:space="preserve">           27</w:t>
            </w:r>
            <w:r w:rsidR="001423B7" w:rsidRPr="004337D2">
              <w:rPr>
                <w:b/>
                <w:color w:val="000000"/>
                <w:sz w:val="24"/>
                <w:szCs w:val="24"/>
              </w:rPr>
              <w:t>3</w:t>
            </w:r>
            <w:r w:rsidRPr="004337D2">
              <w:rPr>
                <w:b/>
                <w:color w:val="00000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AE344E" w:rsidRPr="004F029F" w:rsidRDefault="001423B7" w:rsidP="00AE344E">
            <w:pPr>
              <w:jc w:val="right"/>
              <w:rPr>
                <w:color w:val="000000"/>
                <w:sz w:val="24"/>
                <w:szCs w:val="24"/>
              </w:rPr>
            </w:pPr>
            <w:r>
              <w:rPr>
                <w:color w:val="000000"/>
                <w:sz w:val="24"/>
                <w:szCs w:val="24"/>
              </w:rPr>
              <w:t xml:space="preserve">                          953</w:t>
            </w:r>
            <w:r w:rsidR="00AE344E" w:rsidRPr="004F029F">
              <w:rPr>
                <w:color w:val="000000"/>
                <w:sz w:val="24"/>
                <w:szCs w:val="24"/>
              </w:rPr>
              <w:t xml:space="preserve"> </w:t>
            </w:r>
          </w:p>
        </w:tc>
        <w:tc>
          <w:tcPr>
            <w:tcW w:w="900" w:type="dxa"/>
            <w:tcBorders>
              <w:top w:val="single" w:sz="4" w:space="0" w:color="auto"/>
              <w:left w:val="nil"/>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1.634 </w:t>
            </w:r>
          </w:p>
        </w:tc>
        <w:tc>
          <w:tcPr>
            <w:tcW w:w="1149" w:type="dxa"/>
            <w:tcBorders>
              <w:top w:val="single" w:sz="4" w:space="0" w:color="auto"/>
              <w:left w:val="single" w:sz="4" w:space="0" w:color="auto"/>
              <w:bottom w:val="single" w:sz="4" w:space="0" w:color="auto"/>
              <w:right w:val="single" w:sz="4" w:space="0" w:color="auto"/>
            </w:tcBorders>
            <w:vAlign w:val="bottom"/>
          </w:tcPr>
          <w:p w:rsidR="00AE344E" w:rsidRPr="004337D2" w:rsidRDefault="00AE344E" w:rsidP="00AE344E">
            <w:pPr>
              <w:jc w:val="right"/>
              <w:rPr>
                <w:b/>
                <w:color w:val="000000"/>
                <w:sz w:val="24"/>
                <w:szCs w:val="24"/>
              </w:rPr>
            </w:pPr>
            <w:r w:rsidRPr="004337D2">
              <w:rPr>
                <w:b/>
                <w:color w:val="000000"/>
                <w:sz w:val="24"/>
                <w:szCs w:val="24"/>
              </w:rPr>
              <w:t xml:space="preserve">                953 </w:t>
            </w:r>
          </w:p>
        </w:tc>
        <w:tc>
          <w:tcPr>
            <w:tcW w:w="1084" w:type="dxa"/>
            <w:tcBorders>
              <w:top w:val="single" w:sz="4" w:space="0" w:color="auto"/>
              <w:left w:val="single" w:sz="4" w:space="0" w:color="auto"/>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   </w:t>
            </w:r>
          </w:p>
        </w:tc>
      </w:tr>
      <w:tr w:rsidR="00AE344E" w:rsidRPr="001545FA" w:rsidTr="00FA1CA3">
        <w:trPr>
          <w:gridAfter w:val="1"/>
          <w:wAfter w:w="6" w:type="dxa"/>
          <w:trHeight w:val="288"/>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344E" w:rsidRPr="004F029F" w:rsidRDefault="00AE344E" w:rsidP="00AE344E">
            <w:pPr>
              <w:jc w:val="right"/>
              <w:rPr>
                <w:color w:val="000000"/>
                <w:sz w:val="24"/>
                <w:szCs w:val="24"/>
              </w:rPr>
            </w:pPr>
            <w:r w:rsidRPr="004F029F">
              <w:rPr>
                <w:color w:val="000000"/>
                <w:sz w:val="24"/>
                <w:szCs w:val="24"/>
              </w:rPr>
              <w:t>4</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rsidR="00AE344E" w:rsidRPr="004F029F" w:rsidRDefault="00AE344E" w:rsidP="00AE344E">
            <w:pPr>
              <w:rPr>
                <w:color w:val="000000"/>
                <w:sz w:val="24"/>
                <w:szCs w:val="24"/>
              </w:rPr>
            </w:pPr>
            <w:r w:rsidRPr="004F029F">
              <w:rPr>
                <w:color w:val="000000"/>
                <w:sz w:val="24"/>
                <w:szCs w:val="24"/>
              </w:rPr>
              <w:t>Nhà Thiếu nhi</w:t>
            </w:r>
          </w:p>
        </w:tc>
        <w:tc>
          <w:tcPr>
            <w:tcW w:w="882" w:type="dxa"/>
            <w:gridSpan w:val="2"/>
            <w:tcBorders>
              <w:top w:val="single" w:sz="4" w:space="0" w:color="auto"/>
              <w:left w:val="nil"/>
              <w:bottom w:val="single" w:sz="4" w:space="0" w:color="auto"/>
              <w:right w:val="single" w:sz="4" w:space="0" w:color="auto"/>
            </w:tcBorders>
            <w:shd w:val="clear" w:color="auto" w:fill="auto"/>
            <w:noWrap/>
            <w:vAlign w:val="bottom"/>
            <w:hideMark/>
          </w:tcPr>
          <w:p w:rsidR="00AE344E" w:rsidRPr="004F029F" w:rsidRDefault="00AE344E" w:rsidP="00AE344E">
            <w:pPr>
              <w:jc w:val="right"/>
              <w:rPr>
                <w:color w:val="000000"/>
                <w:sz w:val="24"/>
                <w:szCs w:val="24"/>
              </w:rPr>
            </w:pPr>
            <w:r w:rsidRPr="004F029F">
              <w:rPr>
                <w:color w:val="000000"/>
                <w:sz w:val="24"/>
                <w:szCs w:val="24"/>
              </w:rPr>
              <w:t xml:space="preserve">          </w:t>
            </w:r>
            <w:r w:rsidRPr="00AE344E">
              <w:rPr>
                <w:color w:val="000000"/>
                <w:sz w:val="24"/>
                <w:szCs w:val="24"/>
              </w:rPr>
              <w:t xml:space="preserve"> 2.610</w:t>
            </w:r>
          </w:p>
        </w:tc>
        <w:tc>
          <w:tcPr>
            <w:tcW w:w="876" w:type="dxa"/>
            <w:tcBorders>
              <w:top w:val="single" w:sz="4" w:space="0" w:color="auto"/>
              <w:left w:val="nil"/>
              <w:bottom w:val="single" w:sz="4" w:space="0" w:color="auto"/>
              <w:right w:val="single" w:sz="4" w:space="0" w:color="auto"/>
            </w:tcBorders>
            <w:vAlign w:val="bottom"/>
          </w:tcPr>
          <w:p w:rsidR="00AE344E" w:rsidRPr="00CD5E31" w:rsidRDefault="00AE344E" w:rsidP="00AE344E">
            <w:pPr>
              <w:jc w:val="right"/>
              <w:rPr>
                <w:sz w:val="24"/>
                <w:szCs w:val="24"/>
              </w:rPr>
            </w:pPr>
            <w:r w:rsidRPr="00AE344E">
              <w:rPr>
                <w:sz w:val="24"/>
                <w:szCs w:val="24"/>
              </w:rPr>
              <w:t>2.324</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344E" w:rsidRPr="004F029F" w:rsidRDefault="001423B7" w:rsidP="00AE344E">
            <w:pPr>
              <w:jc w:val="right"/>
              <w:rPr>
                <w:color w:val="000000"/>
                <w:sz w:val="24"/>
                <w:szCs w:val="24"/>
              </w:rPr>
            </w:pPr>
            <w:r>
              <w:rPr>
                <w:color w:val="000000"/>
                <w:sz w:val="24"/>
                <w:szCs w:val="24"/>
              </w:rPr>
              <w:t xml:space="preserve">         4.258</w:t>
            </w:r>
            <w:r w:rsidR="00AE344E" w:rsidRPr="004F029F">
              <w:rPr>
                <w:color w:val="000000"/>
                <w:sz w:val="24"/>
                <w:szCs w:val="24"/>
              </w:rPr>
              <w:t xml:space="preserve"> </w:t>
            </w:r>
          </w:p>
        </w:tc>
        <w:tc>
          <w:tcPr>
            <w:tcW w:w="1031" w:type="dxa"/>
            <w:tcBorders>
              <w:top w:val="single" w:sz="4" w:space="0" w:color="auto"/>
              <w:left w:val="nil"/>
              <w:bottom w:val="single" w:sz="4" w:space="0" w:color="auto"/>
              <w:right w:val="single" w:sz="4" w:space="0" w:color="auto"/>
            </w:tcBorders>
            <w:shd w:val="clear" w:color="auto" w:fill="auto"/>
            <w:noWrap/>
            <w:vAlign w:val="bottom"/>
            <w:hideMark/>
          </w:tcPr>
          <w:p w:rsidR="00AE344E" w:rsidRPr="004337D2" w:rsidRDefault="00AE344E" w:rsidP="001423B7">
            <w:pPr>
              <w:jc w:val="right"/>
              <w:rPr>
                <w:b/>
                <w:color w:val="000000"/>
                <w:sz w:val="24"/>
                <w:szCs w:val="24"/>
              </w:rPr>
            </w:pPr>
            <w:r w:rsidRPr="004337D2">
              <w:rPr>
                <w:b/>
                <w:color w:val="000000"/>
                <w:sz w:val="24"/>
                <w:szCs w:val="24"/>
              </w:rPr>
              <w:t xml:space="preserve">        2.6</w:t>
            </w:r>
            <w:r w:rsidR="001423B7" w:rsidRPr="004337D2">
              <w:rPr>
                <w:b/>
                <w:color w:val="000000"/>
                <w:sz w:val="24"/>
                <w:szCs w:val="24"/>
              </w:rPr>
              <w:t>10</w:t>
            </w:r>
            <w:r w:rsidRPr="004337D2">
              <w:rPr>
                <w:b/>
                <w:color w:val="00000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E344E" w:rsidRPr="004F029F" w:rsidRDefault="00AE344E" w:rsidP="00AE344E">
            <w:pPr>
              <w:jc w:val="right"/>
              <w:rPr>
                <w:color w:val="000000"/>
                <w:sz w:val="24"/>
                <w:szCs w:val="24"/>
              </w:rPr>
            </w:pPr>
            <w:r w:rsidRPr="004F029F">
              <w:rPr>
                <w:color w:val="000000"/>
                <w:sz w:val="24"/>
                <w:szCs w:val="24"/>
              </w:rPr>
              <w:t xml:space="preserve">                                  </w:t>
            </w:r>
            <w:r>
              <w:rPr>
                <w:color w:val="000000"/>
                <w:sz w:val="24"/>
                <w:szCs w:val="24"/>
              </w:rPr>
              <w:t>0</w:t>
            </w:r>
            <w:r w:rsidRPr="004F029F">
              <w:rPr>
                <w:color w:val="000000"/>
                <w:sz w:val="24"/>
                <w:szCs w:val="24"/>
              </w:rPr>
              <w:t xml:space="preserve">   </w:t>
            </w:r>
          </w:p>
        </w:tc>
        <w:tc>
          <w:tcPr>
            <w:tcW w:w="900" w:type="dxa"/>
            <w:tcBorders>
              <w:top w:val="single" w:sz="4" w:space="0" w:color="auto"/>
              <w:left w:val="nil"/>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4.277 </w:t>
            </w:r>
          </w:p>
        </w:tc>
        <w:tc>
          <w:tcPr>
            <w:tcW w:w="1149" w:type="dxa"/>
            <w:tcBorders>
              <w:top w:val="single" w:sz="4" w:space="0" w:color="auto"/>
              <w:left w:val="single" w:sz="4" w:space="0" w:color="auto"/>
              <w:bottom w:val="single" w:sz="4" w:space="0" w:color="auto"/>
              <w:right w:val="single" w:sz="4" w:space="0" w:color="auto"/>
            </w:tcBorders>
            <w:vAlign w:val="bottom"/>
          </w:tcPr>
          <w:p w:rsidR="00AE344E" w:rsidRPr="004337D2" w:rsidRDefault="00AE344E" w:rsidP="00AE344E">
            <w:pPr>
              <w:jc w:val="right"/>
              <w:rPr>
                <w:b/>
                <w:color w:val="000000"/>
                <w:sz w:val="24"/>
                <w:szCs w:val="24"/>
              </w:rPr>
            </w:pPr>
            <w:r w:rsidRPr="004337D2">
              <w:rPr>
                <w:b/>
                <w:color w:val="000000"/>
                <w:sz w:val="24"/>
                <w:szCs w:val="24"/>
              </w:rPr>
              <w:t xml:space="preserve">                   -   </w:t>
            </w:r>
          </w:p>
        </w:tc>
        <w:tc>
          <w:tcPr>
            <w:tcW w:w="1084" w:type="dxa"/>
            <w:tcBorders>
              <w:top w:val="single" w:sz="4" w:space="0" w:color="auto"/>
              <w:left w:val="single" w:sz="4" w:space="0" w:color="auto"/>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   </w:t>
            </w:r>
          </w:p>
        </w:tc>
      </w:tr>
      <w:tr w:rsidR="00AE344E" w:rsidRPr="001545FA" w:rsidTr="00FA1CA3">
        <w:trPr>
          <w:gridAfter w:val="1"/>
          <w:wAfter w:w="6" w:type="dxa"/>
          <w:trHeight w:val="288"/>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344E" w:rsidRPr="004F029F" w:rsidRDefault="00AE344E" w:rsidP="00AE344E">
            <w:pPr>
              <w:jc w:val="right"/>
              <w:rPr>
                <w:color w:val="000000"/>
                <w:sz w:val="24"/>
                <w:szCs w:val="24"/>
              </w:rPr>
            </w:pPr>
            <w:r w:rsidRPr="004F029F">
              <w:rPr>
                <w:color w:val="000000"/>
                <w:sz w:val="24"/>
                <w:szCs w:val="24"/>
              </w:rPr>
              <w:t>5</w:t>
            </w:r>
          </w:p>
        </w:tc>
        <w:tc>
          <w:tcPr>
            <w:tcW w:w="1458" w:type="dxa"/>
            <w:tcBorders>
              <w:top w:val="single" w:sz="4" w:space="0" w:color="auto"/>
              <w:left w:val="nil"/>
              <w:bottom w:val="single" w:sz="4" w:space="0" w:color="auto"/>
              <w:right w:val="single" w:sz="4" w:space="0" w:color="auto"/>
            </w:tcBorders>
            <w:shd w:val="clear" w:color="auto" w:fill="auto"/>
            <w:vAlign w:val="bottom"/>
          </w:tcPr>
          <w:p w:rsidR="00AE344E" w:rsidRPr="004F029F" w:rsidRDefault="00AE344E" w:rsidP="00AE344E">
            <w:pPr>
              <w:rPr>
                <w:color w:val="000000"/>
                <w:sz w:val="24"/>
                <w:szCs w:val="24"/>
              </w:rPr>
            </w:pPr>
            <w:r w:rsidRPr="004F029F">
              <w:rPr>
                <w:color w:val="000000"/>
                <w:sz w:val="24"/>
                <w:szCs w:val="24"/>
              </w:rPr>
              <w:t>Ban Quản lý chợ tp Long Khánh</w:t>
            </w:r>
          </w:p>
        </w:tc>
        <w:tc>
          <w:tcPr>
            <w:tcW w:w="882" w:type="dxa"/>
            <w:gridSpan w:val="2"/>
            <w:tcBorders>
              <w:top w:val="single" w:sz="4" w:space="0" w:color="auto"/>
              <w:left w:val="nil"/>
              <w:bottom w:val="single" w:sz="4" w:space="0" w:color="auto"/>
              <w:right w:val="single" w:sz="4" w:space="0" w:color="auto"/>
            </w:tcBorders>
            <w:shd w:val="clear" w:color="auto" w:fill="auto"/>
            <w:noWrap/>
            <w:vAlign w:val="bottom"/>
          </w:tcPr>
          <w:p w:rsidR="00AE344E" w:rsidRPr="004F029F" w:rsidRDefault="00AE344E" w:rsidP="00AE344E">
            <w:pPr>
              <w:jc w:val="right"/>
              <w:rPr>
                <w:color w:val="000000"/>
                <w:sz w:val="24"/>
                <w:szCs w:val="24"/>
              </w:rPr>
            </w:pPr>
            <w:r w:rsidRPr="00AE344E">
              <w:rPr>
                <w:color w:val="000000"/>
                <w:sz w:val="24"/>
                <w:szCs w:val="24"/>
              </w:rPr>
              <w:t>576</w:t>
            </w:r>
          </w:p>
        </w:tc>
        <w:tc>
          <w:tcPr>
            <w:tcW w:w="876" w:type="dxa"/>
            <w:tcBorders>
              <w:top w:val="single" w:sz="4" w:space="0" w:color="auto"/>
              <w:left w:val="nil"/>
              <w:bottom w:val="single" w:sz="4" w:space="0" w:color="auto"/>
              <w:right w:val="single" w:sz="4" w:space="0" w:color="auto"/>
            </w:tcBorders>
            <w:vAlign w:val="bottom"/>
          </w:tcPr>
          <w:p w:rsidR="00AE344E" w:rsidRPr="00CD5E31" w:rsidRDefault="00AE344E" w:rsidP="00AE344E">
            <w:pPr>
              <w:jc w:val="right"/>
              <w:rPr>
                <w:sz w:val="24"/>
                <w:szCs w:val="24"/>
              </w:rPr>
            </w:pPr>
            <w:r w:rsidRPr="00AE344E">
              <w:rPr>
                <w:sz w:val="24"/>
                <w:szCs w:val="24"/>
              </w:rPr>
              <w:t>390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344E" w:rsidRPr="004F029F" w:rsidRDefault="00AE344E" w:rsidP="00AE344E">
            <w:pPr>
              <w:jc w:val="right"/>
              <w:rPr>
                <w:color w:val="000000"/>
                <w:sz w:val="24"/>
                <w:szCs w:val="24"/>
              </w:rPr>
            </w:pPr>
            <w:r w:rsidRPr="004F029F">
              <w:rPr>
                <w:color w:val="000000"/>
                <w:sz w:val="24"/>
                <w:szCs w:val="24"/>
              </w:rPr>
              <w:t>0</w:t>
            </w:r>
          </w:p>
        </w:tc>
        <w:tc>
          <w:tcPr>
            <w:tcW w:w="1031" w:type="dxa"/>
            <w:tcBorders>
              <w:top w:val="single" w:sz="4" w:space="0" w:color="auto"/>
              <w:left w:val="nil"/>
              <w:bottom w:val="single" w:sz="4" w:space="0" w:color="auto"/>
              <w:right w:val="single" w:sz="4" w:space="0" w:color="auto"/>
            </w:tcBorders>
            <w:shd w:val="clear" w:color="auto" w:fill="auto"/>
            <w:noWrap/>
            <w:vAlign w:val="bottom"/>
          </w:tcPr>
          <w:p w:rsidR="00AE344E" w:rsidRPr="004337D2" w:rsidRDefault="00AE344E" w:rsidP="00AE344E">
            <w:pPr>
              <w:jc w:val="right"/>
              <w:rPr>
                <w:b/>
                <w:color w:val="000000"/>
                <w:sz w:val="24"/>
                <w:szCs w:val="24"/>
              </w:rPr>
            </w:pPr>
            <w:r w:rsidRPr="004337D2">
              <w:rPr>
                <w:b/>
                <w:color w:val="000000"/>
                <w:sz w:val="24"/>
                <w:szCs w:val="24"/>
              </w:rPr>
              <w:t xml:space="preserve">                  0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E344E" w:rsidRPr="004F029F" w:rsidRDefault="001423B7" w:rsidP="00AE344E">
            <w:pPr>
              <w:jc w:val="right"/>
              <w:rPr>
                <w:color w:val="000000"/>
                <w:sz w:val="24"/>
                <w:szCs w:val="24"/>
              </w:rPr>
            </w:pPr>
            <w:r>
              <w:rPr>
                <w:color w:val="000000"/>
                <w:sz w:val="24"/>
                <w:szCs w:val="24"/>
              </w:rPr>
              <w:t xml:space="preserve">                          576</w:t>
            </w:r>
            <w:r w:rsidR="00AE344E" w:rsidRPr="004F029F">
              <w:rPr>
                <w:color w:val="000000"/>
                <w:sz w:val="24"/>
                <w:szCs w:val="24"/>
              </w:rPr>
              <w:t xml:space="preserve"> </w:t>
            </w:r>
          </w:p>
        </w:tc>
        <w:tc>
          <w:tcPr>
            <w:tcW w:w="900" w:type="dxa"/>
            <w:tcBorders>
              <w:top w:val="single" w:sz="4" w:space="0" w:color="auto"/>
              <w:left w:val="nil"/>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583 </w:t>
            </w:r>
          </w:p>
        </w:tc>
        <w:tc>
          <w:tcPr>
            <w:tcW w:w="1149" w:type="dxa"/>
            <w:tcBorders>
              <w:top w:val="single" w:sz="4" w:space="0" w:color="auto"/>
              <w:left w:val="single" w:sz="4" w:space="0" w:color="auto"/>
              <w:bottom w:val="single" w:sz="4" w:space="0" w:color="auto"/>
              <w:right w:val="single" w:sz="4" w:space="0" w:color="auto"/>
            </w:tcBorders>
            <w:vAlign w:val="bottom"/>
          </w:tcPr>
          <w:p w:rsidR="00AE344E" w:rsidRPr="004337D2" w:rsidRDefault="00AE344E" w:rsidP="00AE344E">
            <w:pPr>
              <w:jc w:val="right"/>
              <w:rPr>
                <w:b/>
                <w:color w:val="000000"/>
                <w:sz w:val="24"/>
                <w:szCs w:val="24"/>
              </w:rPr>
            </w:pPr>
            <w:r w:rsidRPr="004337D2">
              <w:rPr>
                <w:b/>
                <w:color w:val="000000"/>
                <w:sz w:val="24"/>
                <w:szCs w:val="24"/>
              </w:rPr>
              <w:t xml:space="preserve">                576 </w:t>
            </w:r>
          </w:p>
        </w:tc>
        <w:tc>
          <w:tcPr>
            <w:tcW w:w="1084" w:type="dxa"/>
            <w:tcBorders>
              <w:top w:val="single" w:sz="4" w:space="0" w:color="auto"/>
              <w:left w:val="single" w:sz="4" w:space="0" w:color="auto"/>
              <w:bottom w:val="single" w:sz="4" w:space="0" w:color="auto"/>
              <w:right w:val="single" w:sz="4" w:space="0" w:color="auto"/>
            </w:tcBorders>
            <w:vAlign w:val="bottom"/>
          </w:tcPr>
          <w:p w:rsidR="00AE344E" w:rsidRPr="00AE344E" w:rsidRDefault="00AE344E" w:rsidP="00AE344E">
            <w:pPr>
              <w:jc w:val="right"/>
              <w:rPr>
                <w:color w:val="000000"/>
                <w:sz w:val="24"/>
                <w:szCs w:val="24"/>
              </w:rPr>
            </w:pPr>
            <w:r w:rsidRPr="00AE344E">
              <w:rPr>
                <w:color w:val="000000"/>
                <w:sz w:val="24"/>
                <w:szCs w:val="24"/>
              </w:rPr>
              <w:t xml:space="preserve">                         -   </w:t>
            </w:r>
          </w:p>
        </w:tc>
      </w:tr>
    </w:tbl>
    <w:p w:rsidR="001545FA" w:rsidRDefault="001545FA" w:rsidP="00322E9F">
      <w:pPr>
        <w:widowControl w:val="0"/>
        <w:tabs>
          <w:tab w:val="left" w:pos="4696"/>
        </w:tabs>
        <w:spacing w:after="120"/>
        <w:ind w:firstLine="709"/>
        <w:jc w:val="both"/>
      </w:pPr>
    </w:p>
    <w:p w:rsidR="008278D2" w:rsidRDefault="008278D2" w:rsidP="00322E9F">
      <w:pPr>
        <w:widowControl w:val="0"/>
        <w:tabs>
          <w:tab w:val="right" w:leader="dot" w:pos="7920"/>
        </w:tabs>
        <w:spacing w:after="120"/>
        <w:ind w:firstLine="709"/>
        <w:jc w:val="both"/>
      </w:pPr>
      <w:r>
        <w:t xml:space="preserve">c) Chính sách 2: Sau khi sử dụng các nguồn vốn tích lũy, các nguồn tài chính chi thường xuyên </w:t>
      </w:r>
      <w:r>
        <w:rPr>
          <w:lang w:val="vi-VN"/>
        </w:rPr>
        <w:t xml:space="preserve">mà </w:t>
      </w:r>
      <w:r>
        <w:t xml:space="preserve">đơn vị vẫn không bảo đảm </w:t>
      </w:r>
      <w:r>
        <w:rPr>
          <w:lang w:val="vi-VN"/>
        </w:rPr>
        <w:t xml:space="preserve">được </w:t>
      </w:r>
      <w:r>
        <w:t xml:space="preserve">chi phí tiền lương thì ngân sách nhà nước hỗ trợ </w:t>
      </w:r>
      <w:r>
        <w:rPr>
          <w:lang w:val="vi-VN"/>
        </w:rPr>
        <w:t>bảo đảm phần chi phí tiền lương còn thiếu</w:t>
      </w:r>
      <w:r>
        <w:t>. Bên cạnh đó, các chi phí hoạt động thường xuyên ngoài lương không được chi trả từ các nguồn vốn tích lũy và không đủ cân đối từ các nguồn tài chính chi thường xuyên sẽ được ngân sách nhà nước hỗ trợ chi trả</w:t>
      </w:r>
    </w:p>
    <w:p w:rsidR="008278D2" w:rsidRDefault="008278D2" w:rsidP="00322E9F">
      <w:pPr>
        <w:widowControl w:val="0"/>
        <w:tabs>
          <w:tab w:val="left" w:pos="4696"/>
        </w:tabs>
        <w:spacing w:after="120"/>
        <w:ind w:firstLine="709"/>
        <w:jc w:val="both"/>
      </w:pPr>
      <w:r>
        <w:t xml:space="preserve">- Các đối tượng áp dụng: </w:t>
      </w:r>
      <w:r>
        <w:rPr>
          <w:bCs/>
          <w:color w:val="000000"/>
          <w:lang w:val="nl-NL"/>
        </w:rPr>
        <w:t>Đài Phát thanh – Truyền hình Đồng Nai, Trung tâm Tư vấn hỗ trợ doanh nghiệp tỉnh Đồng Nai, Trung tâm</w:t>
      </w:r>
      <w:r w:rsidR="002D7EB8">
        <w:rPr>
          <w:bCs/>
          <w:color w:val="000000"/>
          <w:lang w:val="nl-NL"/>
        </w:rPr>
        <w:t xml:space="preserve"> Dịch vụ việc làm tỉnh Đồng Nai</w:t>
      </w:r>
      <w:r>
        <w:rPr>
          <w:bCs/>
          <w:color w:val="000000"/>
          <w:lang w:val="nl-NL"/>
        </w:rPr>
        <w:t>.</w:t>
      </w:r>
    </w:p>
    <w:p w:rsidR="008278D2" w:rsidRDefault="008278D2" w:rsidP="00322E9F">
      <w:pPr>
        <w:widowControl w:val="0"/>
        <w:tabs>
          <w:tab w:val="left" w:pos="4696"/>
        </w:tabs>
        <w:spacing w:after="120"/>
        <w:ind w:firstLine="709"/>
        <w:jc w:val="both"/>
      </w:pPr>
      <w:r>
        <w:t>- Nguồn kinh phí:</w:t>
      </w:r>
      <w:r w:rsidR="004F029F">
        <w:t xml:space="preserve"> Ngân sách nhà nước bổ sung.</w:t>
      </w:r>
    </w:p>
    <w:p w:rsidR="002B0B4B" w:rsidRDefault="008278D2" w:rsidP="002B0B4B">
      <w:pPr>
        <w:widowControl w:val="0"/>
        <w:tabs>
          <w:tab w:val="left" w:pos="4696"/>
        </w:tabs>
        <w:spacing w:after="120"/>
        <w:ind w:firstLine="709"/>
        <w:jc w:val="both"/>
      </w:pPr>
      <w:r>
        <w:t xml:space="preserve">- Số tiền dự kiến: </w:t>
      </w:r>
      <w:r w:rsidR="00E8249B">
        <w:t xml:space="preserve">Trên cơ sở báo cáo của đơn vị, UBND tỉnh </w:t>
      </w:r>
      <w:r w:rsidR="00962705">
        <w:t xml:space="preserve">rà soát loại bỏ các nội dung chi thường xuyên liên quan đến </w:t>
      </w:r>
      <w:r w:rsidR="00962705" w:rsidRPr="00AD7D6E">
        <w:rPr>
          <w:bCs/>
          <w:color w:val="000000"/>
          <w:lang w:val="nl-NL"/>
        </w:rPr>
        <w:t>tiền thuê đất, chi thuế thu nhập doanh nghiệp, tiền ăn trưa, chi phí khấu hao tài sản cố định,</w:t>
      </w:r>
      <w:r w:rsidR="00962705">
        <w:rPr>
          <w:bCs/>
          <w:color w:val="000000"/>
          <w:lang w:val="nl-NL"/>
        </w:rPr>
        <w:t xml:space="preserve"> </w:t>
      </w:r>
      <w:r w:rsidR="00962705" w:rsidRPr="004565DD">
        <w:rPr>
          <w:bCs/>
          <w:color w:val="000000"/>
          <w:lang w:val="nl-NL"/>
        </w:rPr>
        <w:t>chi thu nhập tăng thêm và trích lập các Quỹ</w:t>
      </w:r>
      <w:r w:rsidR="00962705">
        <w:rPr>
          <w:bCs/>
          <w:color w:val="000000"/>
          <w:lang w:val="nl-NL"/>
        </w:rPr>
        <w:t>. Sau khi rà soát loại bỏ các nội dung nêu trên, n</w:t>
      </w:r>
      <w:r w:rsidR="00AB4A0F">
        <w:t>gân sách nhà nước</w:t>
      </w:r>
      <w:r w:rsidR="00AB4A0F" w:rsidRPr="004F029F">
        <w:t xml:space="preserve"> dự kiến </w:t>
      </w:r>
      <w:r w:rsidR="00AB4A0F">
        <w:t xml:space="preserve">bổ sung </w:t>
      </w:r>
      <w:r w:rsidR="006A7379">
        <w:t>8.381</w:t>
      </w:r>
      <w:r w:rsidR="00AB4A0F" w:rsidRPr="004F029F">
        <w:t xml:space="preserve"> triệu đồng, cụ thể như sau:</w:t>
      </w:r>
      <w:r w:rsidR="002B0B4B">
        <w:t xml:space="preserve"> </w:t>
      </w:r>
    </w:p>
    <w:tbl>
      <w:tblPr>
        <w:tblW w:w="10353" w:type="dxa"/>
        <w:tblInd w:w="-714" w:type="dxa"/>
        <w:tblLook w:val="04A0" w:firstRow="1" w:lastRow="0" w:firstColumn="1" w:lastColumn="0" w:noHBand="0" w:noVBand="1"/>
      </w:tblPr>
      <w:tblGrid>
        <w:gridCol w:w="510"/>
        <w:gridCol w:w="1370"/>
        <w:gridCol w:w="1176"/>
        <w:gridCol w:w="1517"/>
        <w:gridCol w:w="1843"/>
        <w:gridCol w:w="1276"/>
        <w:gridCol w:w="1176"/>
        <w:gridCol w:w="1485"/>
      </w:tblGrid>
      <w:tr w:rsidR="0027709E" w:rsidRPr="00AB4A0F" w:rsidTr="002B0B4B">
        <w:trPr>
          <w:trHeight w:val="2108"/>
          <w:tblHead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09E" w:rsidRPr="00AB4A0F" w:rsidRDefault="0027709E" w:rsidP="00AB4A0F">
            <w:pPr>
              <w:jc w:val="center"/>
              <w:rPr>
                <w:color w:val="000000"/>
                <w:sz w:val="24"/>
                <w:szCs w:val="24"/>
              </w:rPr>
            </w:pPr>
            <w:r w:rsidRPr="00AB4A0F">
              <w:rPr>
                <w:color w:val="000000"/>
                <w:sz w:val="24"/>
                <w:szCs w:val="24"/>
              </w:rPr>
              <w:lastRenderedPageBreak/>
              <w:t>TT</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27709E" w:rsidRPr="00AB4A0F" w:rsidRDefault="0027709E" w:rsidP="00AB4A0F">
            <w:pPr>
              <w:jc w:val="center"/>
              <w:rPr>
                <w:color w:val="000000"/>
                <w:sz w:val="24"/>
                <w:szCs w:val="24"/>
              </w:rPr>
            </w:pPr>
            <w:r w:rsidRPr="00AB4A0F">
              <w:rPr>
                <w:color w:val="000000"/>
                <w:sz w:val="24"/>
                <w:szCs w:val="24"/>
              </w:rPr>
              <w:t>Tên đơn vị</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27709E" w:rsidRPr="00AB4A0F" w:rsidRDefault="0027709E" w:rsidP="00305F80">
            <w:pPr>
              <w:rPr>
                <w:color w:val="000000"/>
                <w:sz w:val="24"/>
                <w:szCs w:val="24"/>
              </w:rPr>
            </w:pPr>
            <w:r w:rsidRPr="00AB4A0F">
              <w:rPr>
                <w:color w:val="000000"/>
                <w:sz w:val="24"/>
                <w:szCs w:val="24"/>
              </w:rPr>
              <w:t xml:space="preserve">Nhu cầu chi </w:t>
            </w:r>
            <w:r w:rsidR="002B0B4B">
              <w:rPr>
                <w:color w:val="000000"/>
                <w:sz w:val="24"/>
                <w:szCs w:val="24"/>
              </w:rPr>
              <w:t>thường xuyên</w:t>
            </w:r>
            <w:r w:rsidRPr="00AB4A0F">
              <w:rPr>
                <w:color w:val="000000"/>
                <w:sz w:val="24"/>
                <w:szCs w:val="24"/>
              </w:rPr>
              <w:t xml:space="preserve"> ngoài lương</w:t>
            </w:r>
          </w:p>
        </w:tc>
        <w:tc>
          <w:tcPr>
            <w:tcW w:w="1517" w:type="dxa"/>
            <w:tcBorders>
              <w:top w:val="single" w:sz="4" w:space="0" w:color="auto"/>
              <w:left w:val="nil"/>
              <w:bottom w:val="nil"/>
              <w:right w:val="single" w:sz="4" w:space="0" w:color="auto"/>
            </w:tcBorders>
            <w:shd w:val="clear" w:color="auto" w:fill="auto"/>
            <w:vAlign w:val="center"/>
            <w:hideMark/>
          </w:tcPr>
          <w:p w:rsidR="0027709E" w:rsidRPr="00AB4A0F" w:rsidRDefault="0027709E" w:rsidP="00AB4A0F">
            <w:pPr>
              <w:rPr>
                <w:color w:val="000000"/>
                <w:sz w:val="24"/>
                <w:szCs w:val="24"/>
              </w:rPr>
            </w:pPr>
            <w:r w:rsidRPr="00AB4A0F">
              <w:rPr>
                <w:color w:val="000000"/>
                <w:sz w:val="24"/>
                <w:szCs w:val="24"/>
              </w:rPr>
              <w:t>Nguồn tài chính chi thường xuyên sau khi cân đối chi lương</w:t>
            </w:r>
          </w:p>
        </w:tc>
        <w:tc>
          <w:tcPr>
            <w:tcW w:w="1843" w:type="dxa"/>
            <w:tcBorders>
              <w:top w:val="single" w:sz="4" w:space="0" w:color="auto"/>
              <w:left w:val="nil"/>
              <w:bottom w:val="nil"/>
              <w:right w:val="single" w:sz="4" w:space="0" w:color="auto"/>
            </w:tcBorders>
            <w:shd w:val="clear" w:color="auto" w:fill="auto"/>
            <w:vAlign w:val="center"/>
            <w:hideMark/>
          </w:tcPr>
          <w:p w:rsidR="0027709E" w:rsidRPr="00AB4A0F" w:rsidRDefault="0027709E" w:rsidP="002B0B4B">
            <w:pPr>
              <w:rPr>
                <w:color w:val="000000"/>
                <w:sz w:val="24"/>
                <w:szCs w:val="24"/>
              </w:rPr>
            </w:pPr>
            <w:r w:rsidRPr="00AB4A0F">
              <w:rPr>
                <w:color w:val="000000"/>
                <w:sz w:val="24"/>
                <w:szCs w:val="24"/>
              </w:rPr>
              <w:t xml:space="preserve">Nhu cầu chi phí </w:t>
            </w:r>
            <w:r w:rsidR="002B0B4B">
              <w:rPr>
                <w:color w:val="000000"/>
                <w:sz w:val="24"/>
                <w:szCs w:val="24"/>
              </w:rPr>
              <w:t>thường xuyên</w:t>
            </w:r>
            <w:r w:rsidRPr="00AB4A0F">
              <w:rPr>
                <w:color w:val="000000"/>
                <w:sz w:val="24"/>
                <w:szCs w:val="24"/>
              </w:rPr>
              <w:t xml:space="preserve"> ngoài lương sau khi cân đối từ nguồn tài chính chi thường xuyên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7709E" w:rsidRPr="00AB4A0F" w:rsidRDefault="0027709E" w:rsidP="00AB4A0F">
            <w:pPr>
              <w:rPr>
                <w:color w:val="000000"/>
                <w:sz w:val="24"/>
                <w:szCs w:val="24"/>
              </w:rPr>
            </w:pPr>
            <w:r w:rsidRPr="00AB4A0F">
              <w:rPr>
                <w:color w:val="000000"/>
                <w:sz w:val="24"/>
                <w:szCs w:val="24"/>
              </w:rPr>
              <w:t>NSNN hỗ trợ Chi phí tiền lương</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27709E" w:rsidRPr="00AB4A0F" w:rsidRDefault="0027709E" w:rsidP="00AB4A0F">
            <w:pPr>
              <w:rPr>
                <w:color w:val="000000"/>
                <w:sz w:val="24"/>
                <w:szCs w:val="24"/>
              </w:rPr>
            </w:pPr>
            <w:r w:rsidRPr="00AB4A0F">
              <w:rPr>
                <w:color w:val="000000"/>
                <w:sz w:val="24"/>
                <w:szCs w:val="24"/>
              </w:rPr>
              <w:t>NSNN hỗ trợ Chi phí hoạt động khác ngoài lương</w:t>
            </w:r>
          </w:p>
        </w:tc>
        <w:tc>
          <w:tcPr>
            <w:tcW w:w="1485" w:type="dxa"/>
            <w:tcBorders>
              <w:top w:val="single" w:sz="4" w:space="0" w:color="auto"/>
              <w:left w:val="nil"/>
              <w:bottom w:val="single" w:sz="4" w:space="0" w:color="auto"/>
              <w:right w:val="single" w:sz="4" w:space="0" w:color="auto"/>
            </w:tcBorders>
            <w:vAlign w:val="center"/>
          </w:tcPr>
          <w:p w:rsidR="0027709E" w:rsidRPr="00AB4A0F" w:rsidRDefault="0027709E" w:rsidP="0028423E">
            <w:pPr>
              <w:jc w:val="center"/>
              <w:rPr>
                <w:color w:val="000000"/>
                <w:sz w:val="24"/>
                <w:szCs w:val="24"/>
              </w:rPr>
            </w:pPr>
            <w:r>
              <w:rPr>
                <w:color w:val="000000"/>
                <w:sz w:val="24"/>
                <w:szCs w:val="24"/>
              </w:rPr>
              <w:t>Tổng số NSNN hỗ trợ</w:t>
            </w:r>
          </w:p>
        </w:tc>
      </w:tr>
      <w:tr w:rsidR="0027709E" w:rsidRPr="00AB4A0F" w:rsidTr="002B0B4B">
        <w:trPr>
          <w:trHeight w:val="267"/>
          <w:tblHeader/>
        </w:trPr>
        <w:tc>
          <w:tcPr>
            <w:tcW w:w="510" w:type="dxa"/>
            <w:tcBorders>
              <w:top w:val="nil"/>
              <w:left w:val="single" w:sz="4" w:space="0" w:color="auto"/>
              <w:bottom w:val="single" w:sz="4" w:space="0" w:color="auto"/>
              <w:right w:val="single" w:sz="4" w:space="0" w:color="auto"/>
            </w:tcBorders>
            <w:shd w:val="clear" w:color="auto" w:fill="auto"/>
            <w:vAlign w:val="bottom"/>
            <w:hideMark/>
          </w:tcPr>
          <w:p w:rsidR="0027709E" w:rsidRPr="00AB4A0F" w:rsidRDefault="0027709E" w:rsidP="00AB4A0F">
            <w:pPr>
              <w:jc w:val="center"/>
              <w:rPr>
                <w:color w:val="000000"/>
                <w:sz w:val="24"/>
                <w:szCs w:val="24"/>
              </w:rPr>
            </w:pPr>
            <w:r w:rsidRPr="00AB4A0F">
              <w:rPr>
                <w:color w:val="000000"/>
                <w:sz w:val="24"/>
                <w:szCs w:val="24"/>
              </w:rPr>
              <w:t>A</w:t>
            </w:r>
          </w:p>
        </w:tc>
        <w:tc>
          <w:tcPr>
            <w:tcW w:w="1370" w:type="dxa"/>
            <w:tcBorders>
              <w:top w:val="nil"/>
              <w:left w:val="nil"/>
              <w:bottom w:val="single" w:sz="4" w:space="0" w:color="auto"/>
              <w:right w:val="single" w:sz="4" w:space="0" w:color="auto"/>
            </w:tcBorders>
            <w:shd w:val="clear" w:color="auto" w:fill="auto"/>
            <w:vAlign w:val="bottom"/>
            <w:hideMark/>
          </w:tcPr>
          <w:p w:rsidR="0027709E" w:rsidRPr="00AB4A0F" w:rsidRDefault="0027709E" w:rsidP="00AB4A0F">
            <w:pPr>
              <w:jc w:val="center"/>
              <w:rPr>
                <w:color w:val="000000"/>
                <w:sz w:val="24"/>
                <w:szCs w:val="24"/>
              </w:rPr>
            </w:pPr>
            <w:r w:rsidRPr="00AB4A0F">
              <w:rPr>
                <w:color w:val="000000"/>
                <w:sz w:val="24"/>
                <w:szCs w:val="24"/>
              </w:rPr>
              <w:t>B</w:t>
            </w:r>
          </w:p>
        </w:tc>
        <w:tc>
          <w:tcPr>
            <w:tcW w:w="1176" w:type="dxa"/>
            <w:tcBorders>
              <w:top w:val="nil"/>
              <w:left w:val="nil"/>
              <w:bottom w:val="single" w:sz="4" w:space="0" w:color="auto"/>
              <w:right w:val="single" w:sz="4" w:space="0" w:color="auto"/>
            </w:tcBorders>
            <w:shd w:val="clear" w:color="auto" w:fill="auto"/>
            <w:vAlign w:val="bottom"/>
          </w:tcPr>
          <w:p w:rsidR="0027709E" w:rsidRPr="00AB4A0F" w:rsidRDefault="0027709E" w:rsidP="009B7F34">
            <w:pPr>
              <w:jc w:val="center"/>
              <w:rPr>
                <w:color w:val="000000"/>
                <w:sz w:val="24"/>
                <w:szCs w:val="24"/>
              </w:rPr>
            </w:pPr>
            <w:r>
              <w:rPr>
                <w:color w:val="000000"/>
                <w:sz w:val="24"/>
                <w:szCs w:val="24"/>
              </w:rPr>
              <w:t>(</w:t>
            </w:r>
            <w:r w:rsidR="009B7F34">
              <w:rPr>
                <w:color w:val="000000"/>
                <w:sz w:val="24"/>
                <w:szCs w:val="24"/>
              </w:rPr>
              <w:t>1</w:t>
            </w:r>
            <w:r>
              <w:rPr>
                <w:color w:val="000000"/>
                <w:sz w:val="24"/>
                <w:szCs w:val="24"/>
              </w:rPr>
              <w:t>)</w:t>
            </w:r>
          </w:p>
        </w:tc>
        <w:tc>
          <w:tcPr>
            <w:tcW w:w="1517" w:type="dxa"/>
            <w:tcBorders>
              <w:top w:val="single" w:sz="4" w:space="0" w:color="auto"/>
              <w:left w:val="nil"/>
              <w:bottom w:val="single" w:sz="4" w:space="0" w:color="auto"/>
              <w:right w:val="single" w:sz="4" w:space="0" w:color="auto"/>
            </w:tcBorders>
            <w:shd w:val="clear" w:color="auto" w:fill="auto"/>
            <w:vAlign w:val="bottom"/>
          </w:tcPr>
          <w:p w:rsidR="0027709E" w:rsidRPr="00AB4A0F" w:rsidRDefault="0027709E" w:rsidP="009B7F34">
            <w:pPr>
              <w:jc w:val="center"/>
              <w:rPr>
                <w:color w:val="000000"/>
                <w:sz w:val="24"/>
                <w:szCs w:val="24"/>
              </w:rPr>
            </w:pPr>
            <w:r>
              <w:rPr>
                <w:color w:val="000000"/>
                <w:sz w:val="24"/>
                <w:szCs w:val="24"/>
              </w:rPr>
              <w:t>(</w:t>
            </w:r>
            <w:r w:rsidR="009B7F34">
              <w:rPr>
                <w:color w:val="000000"/>
                <w:sz w:val="24"/>
                <w:szCs w:val="24"/>
              </w:rPr>
              <w:t>2</w:t>
            </w:r>
            <w:r>
              <w:rPr>
                <w:color w:val="000000"/>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bottom"/>
          </w:tcPr>
          <w:p w:rsidR="0027709E" w:rsidRPr="00AB4A0F" w:rsidRDefault="0027709E" w:rsidP="009B7F34">
            <w:pPr>
              <w:jc w:val="center"/>
              <w:rPr>
                <w:color w:val="000000"/>
                <w:sz w:val="24"/>
                <w:szCs w:val="24"/>
              </w:rPr>
            </w:pPr>
            <w:r>
              <w:rPr>
                <w:color w:val="000000"/>
                <w:sz w:val="24"/>
                <w:szCs w:val="24"/>
              </w:rPr>
              <w:t>(</w:t>
            </w:r>
            <w:r w:rsidR="009B7F34">
              <w:rPr>
                <w:color w:val="000000"/>
                <w:sz w:val="24"/>
                <w:szCs w:val="24"/>
              </w:rPr>
              <w:t>3</w:t>
            </w:r>
            <w:r>
              <w:rPr>
                <w:color w:val="000000"/>
                <w:sz w:val="24"/>
                <w:szCs w:val="24"/>
              </w:rPr>
              <w:t>)</w:t>
            </w:r>
            <w:r w:rsidR="002B0B4B">
              <w:rPr>
                <w:color w:val="000000"/>
                <w:sz w:val="24"/>
                <w:szCs w:val="24"/>
              </w:rPr>
              <w:t>=(1)-(2)</w:t>
            </w:r>
          </w:p>
        </w:tc>
        <w:tc>
          <w:tcPr>
            <w:tcW w:w="1276" w:type="dxa"/>
            <w:tcBorders>
              <w:top w:val="nil"/>
              <w:left w:val="nil"/>
              <w:bottom w:val="single" w:sz="4" w:space="0" w:color="auto"/>
              <w:right w:val="single" w:sz="4" w:space="0" w:color="auto"/>
            </w:tcBorders>
            <w:shd w:val="clear" w:color="auto" w:fill="auto"/>
            <w:vAlign w:val="bottom"/>
            <w:hideMark/>
          </w:tcPr>
          <w:p w:rsidR="0027709E" w:rsidRPr="00AB4A0F" w:rsidRDefault="0027709E" w:rsidP="009B7F34">
            <w:pPr>
              <w:jc w:val="center"/>
              <w:rPr>
                <w:color w:val="000000"/>
                <w:sz w:val="24"/>
                <w:szCs w:val="24"/>
              </w:rPr>
            </w:pPr>
            <w:r>
              <w:rPr>
                <w:color w:val="000000"/>
                <w:sz w:val="24"/>
                <w:szCs w:val="24"/>
              </w:rPr>
              <w:t>(</w:t>
            </w:r>
            <w:r w:rsidR="009B7F34">
              <w:rPr>
                <w:color w:val="000000"/>
                <w:sz w:val="24"/>
                <w:szCs w:val="24"/>
              </w:rPr>
              <w:t>4</w:t>
            </w:r>
            <w:r>
              <w:rPr>
                <w:color w:val="000000"/>
                <w:sz w:val="24"/>
                <w:szCs w:val="24"/>
              </w:rPr>
              <w:t>)</w:t>
            </w:r>
          </w:p>
        </w:tc>
        <w:tc>
          <w:tcPr>
            <w:tcW w:w="1176" w:type="dxa"/>
            <w:tcBorders>
              <w:top w:val="nil"/>
              <w:left w:val="nil"/>
              <w:bottom w:val="single" w:sz="4" w:space="0" w:color="auto"/>
              <w:right w:val="single" w:sz="4" w:space="0" w:color="auto"/>
            </w:tcBorders>
            <w:shd w:val="clear" w:color="auto" w:fill="auto"/>
            <w:vAlign w:val="bottom"/>
            <w:hideMark/>
          </w:tcPr>
          <w:p w:rsidR="0027709E" w:rsidRPr="00AB4A0F" w:rsidRDefault="0027709E" w:rsidP="009B7F34">
            <w:pPr>
              <w:jc w:val="center"/>
              <w:rPr>
                <w:color w:val="000000"/>
                <w:sz w:val="24"/>
                <w:szCs w:val="24"/>
              </w:rPr>
            </w:pPr>
            <w:r>
              <w:rPr>
                <w:color w:val="000000"/>
                <w:sz w:val="24"/>
                <w:szCs w:val="24"/>
              </w:rPr>
              <w:t>(</w:t>
            </w:r>
            <w:r w:rsidR="009B7F34">
              <w:rPr>
                <w:color w:val="000000"/>
                <w:sz w:val="24"/>
                <w:szCs w:val="24"/>
              </w:rPr>
              <w:t>5</w:t>
            </w:r>
            <w:r>
              <w:rPr>
                <w:color w:val="000000"/>
                <w:sz w:val="24"/>
                <w:szCs w:val="24"/>
              </w:rPr>
              <w:t>)</w:t>
            </w:r>
          </w:p>
        </w:tc>
        <w:tc>
          <w:tcPr>
            <w:tcW w:w="1485" w:type="dxa"/>
            <w:tcBorders>
              <w:top w:val="nil"/>
              <w:left w:val="nil"/>
              <w:bottom w:val="single" w:sz="4" w:space="0" w:color="auto"/>
              <w:right w:val="single" w:sz="4" w:space="0" w:color="auto"/>
            </w:tcBorders>
            <w:vAlign w:val="bottom"/>
          </w:tcPr>
          <w:p w:rsidR="0027709E" w:rsidRDefault="0027709E" w:rsidP="009B7F34">
            <w:pPr>
              <w:jc w:val="center"/>
              <w:rPr>
                <w:color w:val="000000"/>
                <w:sz w:val="24"/>
                <w:szCs w:val="24"/>
              </w:rPr>
            </w:pPr>
            <w:r>
              <w:rPr>
                <w:color w:val="000000"/>
                <w:sz w:val="24"/>
                <w:szCs w:val="24"/>
              </w:rPr>
              <w:t>(</w:t>
            </w:r>
            <w:r w:rsidR="009B7F34">
              <w:rPr>
                <w:color w:val="000000"/>
                <w:sz w:val="24"/>
                <w:szCs w:val="24"/>
              </w:rPr>
              <w:t>6</w:t>
            </w:r>
            <w:r>
              <w:rPr>
                <w:color w:val="000000"/>
                <w:sz w:val="24"/>
                <w:szCs w:val="24"/>
              </w:rPr>
              <w:t>)=(</w:t>
            </w:r>
            <w:r w:rsidR="009B7F34">
              <w:rPr>
                <w:color w:val="000000"/>
                <w:sz w:val="24"/>
                <w:szCs w:val="24"/>
              </w:rPr>
              <w:t>4</w:t>
            </w:r>
            <w:r>
              <w:rPr>
                <w:color w:val="000000"/>
                <w:sz w:val="24"/>
                <w:szCs w:val="24"/>
              </w:rPr>
              <w:t>)+(</w:t>
            </w:r>
            <w:r w:rsidR="009B7F34">
              <w:rPr>
                <w:color w:val="000000"/>
                <w:sz w:val="24"/>
                <w:szCs w:val="24"/>
              </w:rPr>
              <w:t>5</w:t>
            </w:r>
            <w:r>
              <w:rPr>
                <w:color w:val="000000"/>
                <w:sz w:val="24"/>
                <w:szCs w:val="24"/>
              </w:rPr>
              <w:t>)</w:t>
            </w:r>
          </w:p>
        </w:tc>
      </w:tr>
      <w:tr w:rsidR="0027709E" w:rsidRPr="00AB4A0F" w:rsidTr="009B7F34">
        <w:trPr>
          <w:trHeight w:val="288"/>
        </w:trPr>
        <w:tc>
          <w:tcPr>
            <w:tcW w:w="18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709E" w:rsidRPr="00AB4A0F" w:rsidRDefault="0027709E" w:rsidP="00AB4A0F">
            <w:pPr>
              <w:jc w:val="center"/>
              <w:rPr>
                <w:b/>
                <w:bCs/>
                <w:color w:val="000000"/>
                <w:sz w:val="24"/>
                <w:szCs w:val="24"/>
              </w:rPr>
            </w:pPr>
            <w:r w:rsidRPr="00AB4A0F">
              <w:rPr>
                <w:b/>
                <w:bCs/>
                <w:color w:val="000000"/>
                <w:sz w:val="24"/>
                <w:szCs w:val="24"/>
              </w:rPr>
              <w:t>TỔNG CỘNG</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305F80">
            <w:pPr>
              <w:jc w:val="right"/>
              <w:rPr>
                <w:b/>
                <w:bCs/>
                <w:color w:val="000000"/>
                <w:sz w:val="24"/>
                <w:szCs w:val="24"/>
              </w:rPr>
            </w:pPr>
            <w:r w:rsidRPr="00AB4A0F">
              <w:rPr>
                <w:b/>
                <w:bCs/>
                <w:color w:val="000000"/>
                <w:sz w:val="24"/>
                <w:szCs w:val="24"/>
              </w:rPr>
              <w:t xml:space="preserve">      </w:t>
            </w:r>
            <w:r w:rsidR="00305F80">
              <w:rPr>
                <w:b/>
                <w:bCs/>
                <w:color w:val="000000"/>
                <w:sz w:val="24"/>
                <w:szCs w:val="24"/>
              </w:rPr>
              <w:t>25.956</w:t>
            </w:r>
          </w:p>
        </w:tc>
        <w:tc>
          <w:tcPr>
            <w:tcW w:w="1517"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b/>
                <w:bCs/>
                <w:color w:val="000000"/>
                <w:sz w:val="24"/>
                <w:szCs w:val="24"/>
              </w:rPr>
            </w:pPr>
            <w:r w:rsidRPr="00AB4A0F">
              <w:rPr>
                <w:b/>
                <w:bCs/>
                <w:color w:val="000000"/>
                <w:sz w:val="24"/>
                <w:szCs w:val="24"/>
              </w:rPr>
              <w:t xml:space="preserve">   19.528 </w:t>
            </w:r>
          </w:p>
        </w:tc>
        <w:tc>
          <w:tcPr>
            <w:tcW w:w="1843" w:type="dxa"/>
            <w:tcBorders>
              <w:top w:val="nil"/>
              <w:left w:val="nil"/>
              <w:bottom w:val="single" w:sz="4" w:space="0" w:color="auto"/>
              <w:right w:val="single" w:sz="4" w:space="0" w:color="auto"/>
            </w:tcBorders>
            <w:shd w:val="clear" w:color="auto" w:fill="auto"/>
            <w:noWrap/>
            <w:vAlign w:val="bottom"/>
            <w:hideMark/>
          </w:tcPr>
          <w:p w:rsidR="0027709E" w:rsidRPr="00AB4A0F" w:rsidRDefault="00305F80" w:rsidP="00C06122">
            <w:pPr>
              <w:jc w:val="right"/>
              <w:rPr>
                <w:b/>
                <w:bCs/>
                <w:color w:val="000000"/>
                <w:sz w:val="24"/>
                <w:szCs w:val="24"/>
              </w:rPr>
            </w:pPr>
            <w:r>
              <w:rPr>
                <w:b/>
                <w:bCs/>
                <w:color w:val="000000"/>
                <w:sz w:val="24"/>
                <w:szCs w:val="24"/>
              </w:rPr>
              <w:t>6.428</w:t>
            </w:r>
          </w:p>
        </w:tc>
        <w:tc>
          <w:tcPr>
            <w:tcW w:w="12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b/>
                <w:bCs/>
                <w:color w:val="000000"/>
                <w:sz w:val="24"/>
                <w:szCs w:val="24"/>
              </w:rPr>
            </w:pPr>
            <w:r w:rsidRPr="00AB4A0F">
              <w:rPr>
                <w:b/>
                <w:bCs/>
                <w:color w:val="000000"/>
                <w:sz w:val="24"/>
                <w:szCs w:val="24"/>
              </w:rPr>
              <w:t xml:space="preserve">       7</w:t>
            </w:r>
            <w:r w:rsidR="00C06122">
              <w:rPr>
                <w:b/>
                <w:bCs/>
                <w:color w:val="000000"/>
                <w:sz w:val="24"/>
                <w:szCs w:val="24"/>
              </w:rPr>
              <w:t>8</w:t>
            </w:r>
            <w:r w:rsidRPr="00AB4A0F">
              <w:rPr>
                <w:b/>
                <w:bCs/>
                <w:color w:val="00000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b/>
                <w:bCs/>
                <w:color w:val="000000"/>
                <w:sz w:val="24"/>
                <w:szCs w:val="24"/>
              </w:rPr>
            </w:pPr>
            <w:r w:rsidRPr="00AB4A0F">
              <w:rPr>
                <w:b/>
                <w:bCs/>
                <w:color w:val="000000"/>
                <w:sz w:val="24"/>
                <w:szCs w:val="24"/>
              </w:rPr>
              <w:t xml:space="preserve">     </w:t>
            </w:r>
            <w:r w:rsidRPr="005971C1">
              <w:rPr>
                <w:b/>
                <w:bCs/>
                <w:color w:val="000000"/>
                <w:sz w:val="24"/>
                <w:szCs w:val="24"/>
              </w:rPr>
              <w:t>17.37</w:t>
            </w:r>
            <w:r w:rsidR="00C06122">
              <w:rPr>
                <w:b/>
                <w:bCs/>
                <w:color w:val="000000"/>
                <w:sz w:val="24"/>
                <w:szCs w:val="24"/>
              </w:rPr>
              <w:t>6</w:t>
            </w:r>
          </w:p>
        </w:tc>
        <w:tc>
          <w:tcPr>
            <w:tcW w:w="1485" w:type="dxa"/>
            <w:tcBorders>
              <w:top w:val="nil"/>
              <w:left w:val="nil"/>
              <w:bottom w:val="single" w:sz="4" w:space="0" w:color="auto"/>
              <w:right w:val="single" w:sz="4" w:space="0" w:color="auto"/>
            </w:tcBorders>
            <w:vAlign w:val="bottom"/>
          </w:tcPr>
          <w:p w:rsidR="0027709E" w:rsidRPr="004337D2" w:rsidRDefault="00305F80" w:rsidP="00C06122">
            <w:pPr>
              <w:jc w:val="right"/>
              <w:rPr>
                <w:b/>
                <w:bCs/>
                <w:color w:val="000000"/>
                <w:sz w:val="24"/>
                <w:szCs w:val="24"/>
              </w:rPr>
            </w:pPr>
            <w:r w:rsidRPr="004337D2">
              <w:rPr>
                <w:b/>
                <w:bCs/>
                <w:color w:val="000000"/>
                <w:sz w:val="24"/>
                <w:szCs w:val="24"/>
              </w:rPr>
              <w:t>8.381</w:t>
            </w:r>
          </w:p>
        </w:tc>
      </w:tr>
      <w:tr w:rsidR="0027709E" w:rsidRPr="00AB4A0F" w:rsidTr="009B7F34">
        <w:trPr>
          <w:trHeight w:val="288"/>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7709E" w:rsidRPr="00AB4A0F" w:rsidRDefault="0027709E" w:rsidP="00AB4A0F">
            <w:pPr>
              <w:jc w:val="right"/>
              <w:rPr>
                <w:color w:val="000000"/>
                <w:sz w:val="24"/>
                <w:szCs w:val="24"/>
              </w:rPr>
            </w:pPr>
            <w:r w:rsidRPr="00AB4A0F">
              <w:rPr>
                <w:color w:val="000000"/>
                <w:sz w:val="24"/>
                <w:szCs w:val="24"/>
              </w:rPr>
              <w:t>1</w:t>
            </w:r>
          </w:p>
        </w:tc>
        <w:tc>
          <w:tcPr>
            <w:tcW w:w="1370" w:type="dxa"/>
            <w:tcBorders>
              <w:top w:val="nil"/>
              <w:left w:val="nil"/>
              <w:bottom w:val="single" w:sz="4" w:space="0" w:color="auto"/>
              <w:right w:val="single" w:sz="4" w:space="0" w:color="auto"/>
            </w:tcBorders>
            <w:shd w:val="clear" w:color="auto" w:fill="auto"/>
            <w:vAlign w:val="bottom"/>
            <w:hideMark/>
          </w:tcPr>
          <w:p w:rsidR="0027709E" w:rsidRPr="00AB4A0F" w:rsidRDefault="0027709E" w:rsidP="00AB4A0F">
            <w:pPr>
              <w:rPr>
                <w:color w:val="000000"/>
                <w:sz w:val="24"/>
                <w:szCs w:val="24"/>
              </w:rPr>
            </w:pPr>
            <w:r w:rsidRPr="00AB4A0F">
              <w:rPr>
                <w:color w:val="000000"/>
                <w:sz w:val="24"/>
                <w:szCs w:val="24"/>
              </w:rPr>
              <w:t>Đài PTTH Đồng Nai</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305F80">
            <w:pPr>
              <w:jc w:val="right"/>
              <w:rPr>
                <w:color w:val="000000"/>
                <w:sz w:val="24"/>
                <w:szCs w:val="24"/>
              </w:rPr>
            </w:pPr>
            <w:r w:rsidRPr="00AB4A0F">
              <w:rPr>
                <w:color w:val="000000"/>
                <w:sz w:val="24"/>
                <w:szCs w:val="24"/>
              </w:rPr>
              <w:t xml:space="preserve">        </w:t>
            </w:r>
            <w:r w:rsidR="00305F80">
              <w:rPr>
                <w:color w:val="000000"/>
                <w:sz w:val="24"/>
                <w:szCs w:val="24"/>
              </w:rPr>
              <w:t>22.358</w:t>
            </w:r>
          </w:p>
        </w:tc>
        <w:tc>
          <w:tcPr>
            <w:tcW w:w="1517"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14.564 </w:t>
            </w:r>
          </w:p>
        </w:tc>
        <w:tc>
          <w:tcPr>
            <w:tcW w:w="1843"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305F80">
            <w:pPr>
              <w:jc w:val="right"/>
              <w:rPr>
                <w:color w:val="000000"/>
                <w:sz w:val="24"/>
                <w:szCs w:val="24"/>
              </w:rPr>
            </w:pPr>
            <w:r w:rsidRPr="00AB4A0F">
              <w:rPr>
                <w:color w:val="000000"/>
                <w:sz w:val="24"/>
                <w:szCs w:val="24"/>
              </w:rPr>
              <w:t xml:space="preserve">     </w:t>
            </w:r>
            <w:r w:rsidR="00305F80">
              <w:rPr>
                <w:color w:val="000000"/>
                <w:sz w:val="24"/>
                <w:szCs w:val="24"/>
              </w:rPr>
              <w:t>7.793</w:t>
            </w:r>
          </w:p>
        </w:tc>
        <w:tc>
          <w:tcPr>
            <w:tcW w:w="12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AB4A0F">
            <w:pPr>
              <w:jc w:val="right"/>
              <w:rPr>
                <w:color w:val="000000"/>
                <w:sz w:val="24"/>
                <w:szCs w:val="24"/>
              </w:rPr>
            </w:pPr>
            <w:r w:rsidRPr="00AB4A0F">
              <w:rPr>
                <w:color w:val="000000"/>
                <w:sz w:val="24"/>
                <w:szCs w:val="24"/>
              </w:rPr>
              <w:t xml:space="preserve">              -   </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w:t>
            </w:r>
            <w:r w:rsidRPr="005971C1">
              <w:rPr>
                <w:color w:val="000000"/>
                <w:sz w:val="24"/>
                <w:szCs w:val="24"/>
              </w:rPr>
              <w:t>16.78</w:t>
            </w:r>
            <w:r w:rsidR="00C06122">
              <w:rPr>
                <w:color w:val="000000"/>
                <w:sz w:val="24"/>
                <w:szCs w:val="24"/>
              </w:rPr>
              <w:t>9</w:t>
            </w:r>
          </w:p>
        </w:tc>
        <w:tc>
          <w:tcPr>
            <w:tcW w:w="1485" w:type="dxa"/>
            <w:tcBorders>
              <w:top w:val="nil"/>
              <w:left w:val="nil"/>
              <w:bottom w:val="single" w:sz="4" w:space="0" w:color="auto"/>
              <w:right w:val="single" w:sz="4" w:space="0" w:color="auto"/>
            </w:tcBorders>
            <w:vAlign w:val="bottom"/>
          </w:tcPr>
          <w:p w:rsidR="0027709E" w:rsidRPr="004337D2" w:rsidRDefault="00305F80" w:rsidP="00C06122">
            <w:pPr>
              <w:jc w:val="right"/>
              <w:rPr>
                <w:b/>
                <w:color w:val="000000"/>
                <w:sz w:val="24"/>
                <w:szCs w:val="24"/>
              </w:rPr>
            </w:pPr>
            <w:r w:rsidRPr="004337D2">
              <w:rPr>
                <w:b/>
                <w:color w:val="000000"/>
                <w:sz w:val="24"/>
                <w:szCs w:val="24"/>
              </w:rPr>
              <w:t>7.793</w:t>
            </w:r>
          </w:p>
        </w:tc>
      </w:tr>
      <w:tr w:rsidR="0027709E" w:rsidRPr="00AB4A0F" w:rsidTr="009B7F34">
        <w:trPr>
          <w:trHeight w:val="636"/>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7709E" w:rsidRPr="00AB4A0F" w:rsidRDefault="0027709E" w:rsidP="00AB4A0F">
            <w:pPr>
              <w:jc w:val="right"/>
              <w:rPr>
                <w:color w:val="000000"/>
                <w:sz w:val="24"/>
                <w:szCs w:val="24"/>
              </w:rPr>
            </w:pPr>
            <w:r w:rsidRPr="00AB4A0F">
              <w:rPr>
                <w:color w:val="000000"/>
                <w:sz w:val="24"/>
                <w:szCs w:val="24"/>
              </w:rPr>
              <w:t>2</w:t>
            </w:r>
          </w:p>
        </w:tc>
        <w:tc>
          <w:tcPr>
            <w:tcW w:w="1370" w:type="dxa"/>
            <w:tcBorders>
              <w:top w:val="nil"/>
              <w:left w:val="nil"/>
              <w:bottom w:val="single" w:sz="4" w:space="0" w:color="auto"/>
              <w:right w:val="single" w:sz="4" w:space="0" w:color="auto"/>
            </w:tcBorders>
            <w:shd w:val="clear" w:color="auto" w:fill="auto"/>
            <w:vAlign w:val="bottom"/>
            <w:hideMark/>
          </w:tcPr>
          <w:p w:rsidR="0027709E" w:rsidRPr="00AB4A0F" w:rsidRDefault="0027709E" w:rsidP="002B0B4B">
            <w:pPr>
              <w:rPr>
                <w:color w:val="000000"/>
                <w:sz w:val="24"/>
                <w:szCs w:val="24"/>
              </w:rPr>
            </w:pPr>
            <w:r w:rsidRPr="00AB4A0F">
              <w:rPr>
                <w:color w:val="000000"/>
                <w:sz w:val="24"/>
                <w:szCs w:val="24"/>
              </w:rPr>
              <w:t xml:space="preserve">Trung tâm Tư vấn hỗ trợ doanh nghiệp </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180 </w:t>
            </w:r>
          </w:p>
        </w:tc>
        <w:tc>
          <w:tcPr>
            <w:tcW w:w="1517"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AB4A0F">
            <w:pPr>
              <w:jc w:val="right"/>
              <w:rPr>
                <w:color w:val="000000"/>
                <w:sz w:val="24"/>
                <w:szCs w:val="24"/>
              </w:rPr>
            </w:pPr>
            <w:r w:rsidRPr="00AB4A0F">
              <w:rPr>
                <w:color w:val="000000"/>
                <w:sz w:val="24"/>
                <w:szCs w:val="24"/>
              </w:rPr>
              <w:t xml:space="preserve">                  -   </w:t>
            </w:r>
          </w:p>
        </w:tc>
        <w:tc>
          <w:tcPr>
            <w:tcW w:w="1843"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180 </w:t>
            </w:r>
          </w:p>
        </w:tc>
        <w:tc>
          <w:tcPr>
            <w:tcW w:w="12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7</w:t>
            </w:r>
            <w:r w:rsidR="00C06122">
              <w:rPr>
                <w:color w:val="000000"/>
                <w:sz w:val="24"/>
                <w:szCs w:val="24"/>
              </w:rPr>
              <w:t>8</w:t>
            </w:r>
            <w:r w:rsidRPr="00AB4A0F">
              <w:rPr>
                <w:color w:val="000000"/>
                <w:sz w:val="24"/>
                <w:szCs w:val="24"/>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180 </w:t>
            </w:r>
          </w:p>
        </w:tc>
        <w:tc>
          <w:tcPr>
            <w:tcW w:w="1485" w:type="dxa"/>
            <w:tcBorders>
              <w:top w:val="nil"/>
              <w:left w:val="nil"/>
              <w:bottom w:val="single" w:sz="4" w:space="0" w:color="auto"/>
              <w:right w:val="single" w:sz="4" w:space="0" w:color="auto"/>
            </w:tcBorders>
            <w:vAlign w:val="bottom"/>
          </w:tcPr>
          <w:p w:rsidR="0027709E" w:rsidRPr="004337D2" w:rsidRDefault="0027709E" w:rsidP="00C06122">
            <w:pPr>
              <w:jc w:val="right"/>
              <w:rPr>
                <w:b/>
                <w:color w:val="000000"/>
                <w:sz w:val="24"/>
                <w:szCs w:val="24"/>
              </w:rPr>
            </w:pPr>
            <w:r w:rsidRPr="004337D2">
              <w:rPr>
                <w:b/>
                <w:color w:val="000000"/>
                <w:sz w:val="24"/>
                <w:szCs w:val="24"/>
              </w:rPr>
              <w:t>25</w:t>
            </w:r>
            <w:r w:rsidR="00C06122" w:rsidRPr="004337D2">
              <w:rPr>
                <w:b/>
                <w:color w:val="000000"/>
                <w:sz w:val="24"/>
                <w:szCs w:val="24"/>
              </w:rPr>
              <w:t>8</w:t>
            </w:r>
          </w:p>
        </w:tc>
      </w:tr>
      <w:tr w:rsidR="0027709E" w:rsidRPr="00AB4A0F" w:rsidTr="009B7F34">
        <w:trPr>
          <w:trHeight w:val="432"/>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7709E" w:rsidRPr="00AB4A0F" w:rsidRDefault="0027709E" w:rsidP="00AB4A0F">
            <w:pPr>
              <w:jc w:val="right"/>
              <w:rPr>
                <w:color w:val="000000"/>
                <w:sz w:val="24"/>
                <w:szCs w:val="24"/>
              </w:rPr>
            </w:pPr>
            <w:r w:rsidRPr="00AB4A0F">
              <w:rPr>
                <w:color w:val="000000"/>
                <w:sz w:val="24"/>
                <w:szCs w:val="24"/>
              </w:rPr>
              <w:t>3</w:t>
            </w:r>
          </w:p>
        </w:tc>
        <w:tc>
          <w:tcPr>
            <w:tcW w:w="1370" w:type="dxa"/>
            <w:tcBorders>
              <w:top w:val="nil"/>
              <w:left w:val="nil"/>
              <w:bottom w:val="single" w:sz="4" w:space="0" w:color="auto"/>
              <w:right w:val="single" w:sz="4" w:space="0" w:color="auto"/>
            </w:tcBorders>
            <w:shd w:val="clear" w:color="auto" w:fill="auto"/>
            <w:vAlign w:val="bottom"/>
            <w:hideMark/>
          </w:tcPr>
          <w:p w:rsidR="0027709E" w:rsidRPr="00AB4A0F" w:rsidRDefault="0027709E" w:rsidP="002B0B4B">
            <w:pPr>
              <w:rPr>
                <w:color w:val="000000"/>
                <w:sz w:val="24"/>
                <w:szCs w:val="24"/>
              </w:rPr>
            </w:pPr>
            <w:r w:rsidRPr="00AB4A0F">
              <w:rPr>
                <w:color w:val="000000"/>
                <w:sz w:val="24"/>
                <w:szCs w:val="24"/>
              </w:rPr>
              <w:t xml:space="preserve">Trung tâm Dịch vụ việc làm </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704 </w:t>
            </w:r>
          </w:p>
        </w:tc>
        <w:tc>
          <w:tcPr>
            <w:tcW w:w="1517" w:type="dxa"/>
            <w:tcBorders>
              <w:top w:val="nil"/>
              <w:left w:val="nil"/>
              <w:bottom w:val="single" w:sz="4" w:space="0" w:color="auto"/>
              <w:right w:val="single" w:sz="4" w:space="0" w:color="auto"/>
            </w:tcBorders>
            <w:shd w:val="clear" w:color="auto" w:fill="auto"/>
            <w:noWrap/>
            <w:vAlign w:val="bottom"/>
            <w:hideMark/>
          </w:tcPr>
          <w:p w:rsidR="0027709E" w:rsidRPr="00AB4A0F" w:rsidRDefault="00C06122" w:rsidP="00C06122">
            <w:pPr>
              <w:jc w:val="right"/>
              <w:rPr>
                <w:color w:val="000000"/>
                <w:sz w:val="24"/>
                <w:szCs w:val="24"/>
              </w:rPr>
            </w:pPr>
            <w:r>
              <w:rPr>
                <w:color w:val="000000"/>
                <w:sz w:val="24"/>
                <w:szCs w:val="24"/>
              </w:rPr>
              <w:t xml:space="preserve">          681</w:t>
            </w:r>
            <w:r w:rsidR="0027709E" w:rsidRPr="00AB4A0F">
              <w:rPr>
                <w:color w:val="00000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23 </w:t>
            </w:r>
          </w:p>
        </w:tc>
        <w:tc>
          <w:tcPr>
            <w:tcW w:w="12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AB4A0F">
            <w:pPr>
              <w:jc w:val="right"/>
              <w:rPr>
                <w:color w:val="000000"/>
                <w:sz w:val="24"/>
                <w:szCs w:val="24"/>
              </w:rPr>
            </w:pPr>
            <w:r w:rsidRPr="00AB4A0F">
              <w:rPr>
                <w:color w:val="000000"/>
                <w:sz w:val="24"/>
                <w:szCs w:val="24"/>
              </w:rPr>
              <w:t xml:space="preserve">              -   </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23 </w:t>
            </w:r>
          </w:p>
        </w:tc>
        <w:tc>
          <w:tcPr>
            <w:tcW w:w="1485" w:type="dxa"/>
            <w:tcBorders>
              <w:top w:val="nil"/>
              <w:left w:val="nil"/>
              <w:bottom w:val="single" w:sz="4" w:space="0" w:color="auto"/>
              <w:right w:val="single" w:sz="4" w:space="0" w:color="auto"/>
            </w:tcBorders>
            <w:vAlign w:val="bottom"/>
          </w:tcPr>
          <w:p w:rsidR="0027709E" w:rsidRPr="004337D2" w:rsidRDefault="0027709E" w:rsidP="00C06122">
            <w:pPr>
              <w:jc w:val="right"/>
              <w:rPr>
                <w:b/>
                <w:color w:val="000000"/>
                <w:sz w:val="24"/>
                <w:szCs w:val="24"/>
              </w:rPr>
            </w:pPr>
            <w:r w:rsidRPr="004337D2">
              <w:rPr>
                <w:b/>
                <w:color w:val="000000"/>
                <w:sz w:val="24"/>
                <w:szCs w:val="24"/>
              </w:rPr>
              <w:t>23</w:t>
            </w:r>
          </w:p>
        </w:tc>
      </w:tr>
      <w:tr w:rsidR="0027709E" w:rsidRPr="00AB4A0F" w:rsidTr="009B7F34">
        <w:trPr>
          <w:trHeight w:val="288"/>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7709E" w:rsidRPr="00AB4A0F" w:rsidRDefault="0027709E" w:rsidP="0028423E">
            <w:pPr>
              <w:jc w:val="right"/>
              <w:rPr>
                <w:color w:val="000000"/>
                <w:sz w:val="24"/>
                <w:szCs w:val="24"/>
              </w:rPr>
            </w:pPr>
            <w:r w:rsidRPr="00AB4A0F">
              <w:rPr>
                <w:color w:val="000000"/>
                <w:sz w:val="24"/>
                <w:szCs w:val="24"/>
              </w:rPr>
              <w:t>4</w:t>
            </w:r>
          </w:p>
        </w:tc>
        <w:tc>
          <w:tcPr>
            <w:tcW w:w="1370" w:type="dxa"/>
            <w:tcBorders>
              <w:top w:val="nil"/>
              <w:left w:val="nil"/>
              <w:bottom w:val="single" w:sz="4" w:space="0" w:color="auto"/>
              <w:right w:val="single" w:sz="4" w:space="0" w:color="auto"/>
            </w:tcBorders>
            <w:shd w:val="clear" w:color="auto" w:fill="auto"/>
            <w:vAlign w:val="bottom"/>
            <w:hideMark/>
          </w:tcPr>
          <w:p w:rsidR="0027709E" w:rsidRPr="00AB4A0F" w:rsidRDefault="0027709E" w:rsidP="0028423E">
            <w:pPr>
              <w:rPr>
                <w:color w:val="000000"/>
                <w:sz w:val="24"/>
                <w:szCs w:val="24"/>
              </w:rPr>
            </w:pPr>
            <w:r w:rsidRPr="00AB4A0F">
              <w:rPr>
                <w:color w:val="000000"/>
                <w:sz w:val="24"/>
                <w:szCs w:val="24"/>
              </w:rPr>
              <w:t>Nhà Thiếu nhi</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2.324 </w:t>
            </w:r>
          </w:p>
        </w:tc>
        <w:tc>
          <w:tcPr>
            <w:tcW w:w="1517"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4.27</w:t>
            </w:r>
            <w:r w:rsidR="00C06122">
              <w:rPr>
                <w:color w:val="000000"/>
                <w:sz w:val="24"/>
                <w:szCs w:val="24"/>
              </w:rPr>
              <w:t>7</w:t>
            </w:r>
            <w:r w:rsidRPr="00AB4A0F">
              <w:rPr>
                <w:color w:val="00000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w:t>
            </w:r>
            <w:r w:rsidR="00C06122">
              <w:rPr>
                <w:color w:val="000000"/>
                <w:sz w:val="24"/>
                <w:szCs w:val="24"/>
              </w:rPr>
              <w:t>-</w:t>
            </w:r>
            <w:r w:rsidRPr="00AB4A0F">
              <w:rPr>
                <w:color w:val="000000"/>
                <w:sz w:val="24"/>
                <w:szCs w:val="24"/>
              </w:rPr>
              <w:t>1.952</w:t>
            </w:r>
            <w:r w:rsidR="00C06122">
              <w:rPr>
                <w:color w:val="000000"/>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28423E">
            <w:pPr>
              <w:jc w:val="right"/>
              <w:rPr>
                <w:color w:val="000000"/>
                <w:sz w:val="24"/>
                <w:szCs w:val="24"/>
              </w:rPr>
            </w:pPr>
            <w:r w:rsidRPr="00AB4A0F">
              <w:rPr>
                <w:color w:val="000000"/>
                <w:sz w:val="24"/>
                <w:szCs w:val="24"/>
              </w:rPr>
              <w:t xml:space="preserve">              -   </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28423E">
            <w:pPr>
              <w:jc w:val="right"/>
              <w:rPr>
                <w:color w:val="000000"/>
                <w:sz w:val="24"/>
                <w:szCs w:val="24"/>
              </w:rPr>
            </w:pPr>
            <w:r w:rsidRPr="00AB4A0F">
              <w:rPr>
                <w:color w:val="000000"/>
                <w:sz w:val="24"/>
                <w:szCs w:val="24"/>
              </w:rPr>
              <w:t xml:space="preserve">                    -   </w:t>
            </w:r>
          </w:p>
        </w:tc>
        <w:tc>
          <w:tcPr>
            <w:tcW w:w="1485" w:type="dxa"/>
            <w:tcBorders>
              <w:top w:val="nil"/>
              <w:left w:val="nil"/>
              <w:bottom w:val="single" w:sz="4" w:space="0" w:color="auto"/>
              <w:right w:val="single" w:sz="4" w:space="0" w:color="auto"/>
            </w:tcBorders>
            <w:vAlign w:val="bottom"/>
          </w:tcPr>
          <w:p w:rsidR="0027709E" w:rsidRPr="004337D2" w:rsidRDefault="0027709E" w:rsidP="0028423E">
            <w:pPr>
              <w:jc w:val="right"/>
              <w:rPr>
                <w:b/>
                <w:color w:val="000000"/>
                <w:sz w:val="24"/>
                <w:szCs w:val="24"/>
              </w:rPr>
            </w:pPr>
            <w:r w:rsidRPr="004337D2">
              <w:rPr>
                <w:b/>
                <w:color w:val="000000"/>
                <w:sz w:val="24"/>
                <w:szCs w:val="24"/>
              </w:rPr>
              <w:t xml:space="preserve">                    -   </w:t>
            </w:r>
          </w:p>
        </w:tc>
      </w:tr>
      <w:tr w:rsidR="0027709E" w:rsidRPr="00AB4A0F" w:rsidTr="009B7F34">
        <w:trPr>
          <w:trHeight w:val="432"/>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7709E" w:rsidRPr="00AB4A0F" w:rsidRDefault="0027709E" w:rsidP="0028423E">
            <w:pPr>
              <w:jc w:val="right"/>
              <w:rPr>
                <w:color w:val="000000"/>
                <w:sz w:val="24"/>
                <w:szCs w:val="24"/>
              </w:rPr>
            </w:pPr>
            <w:r w:rsidRPr="00AB4A0F">
              <w:rPr>
                <w:color w:val="000000"/>
                <w:sz w:val="24"/>
                <w:szCs w:val="24"/>
              </w:rPr>
              <w:t>5</w:t>
            </w:r>
          </w:p>
        </w:tc>
        <w:tc>
          <w:tcPr>
            <w:tcW w:w="1370" w:type="dxa"/>
            <w:tcBorders>
              <w:top w:val="nil"/>
              <w:left w:val="nil"/>
              <w:bottom w:val="single" w:sz="4" w:space="0" w:color="auto"/>
              <w:right w:val="single" w:sz="4" w:space="0" w:color="auto"/>
            </w:tcBorders>
            <w:shd w:val="clear" w:color="auto" w:fill="auto"/>
            <w:vAlign w:val="bottom"/>
            <w:hideMark/>
          </w:tcPr>
          <w:p w:rsidR="0027709E" w:rsidRPr="00AB4A0F" w:rsidRDefault="0027709E" w:rsidP="0028423E">
            <w:pPr>
              <w:rPr>
                <w:color w:val="000000"/>
                <w:sz w:val="24"/>
                <w:szCs w:val="24"/>
              </w:rPr>
            </w:pPr>
            <w:r w:rsidRPr="00AB4A0F">
              <w:rPr>
                <w:color w:val="000000"/>
                <w:sz w:val="24"/>
                <w:szCs w:val="24"/>
              </w:rPr>
              <w:t>Ban Quản lý chợ tp Long Khánh</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390 </w:t>
            </w:r>
          </w:p>
        </w:tc>
        <w:tc>
          <w:tcPr>
            <w:tcW w:w="1517"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28423E">
            <w:pPr>
              <w:jc w:val="right"/>
              <w:rPr>
                <w:color w:val="000000"/>
                <w:sz w:val="24"/>
                <w:szCs w:val="24"/>
              </w:rPr>
            </w:pPr>
            <w:r w:rsidRPr="00AB4A0F">
              <w:rPr>
                <w:color w:val="000000"/>
                <w:sz w:val="24"/>
                <w:szCs w:val="24"/>
              </w:rPr>
              <w:t xml:space="preserve"> </w:t>
            </w:r>
            <w:r w:rsidR="00C06122">
              <w:rPr>
                <w:color w:val="000000"/>
                <w:sz w:val="24"/>
                <w:szCs w:val="24"/>
              </w:rPr>
              <w:t xml:space="preserve">             6</w:t>
            </w:r>
          </w:p>
        </w:tc>
        <w:tc>
          <w:tcPr>
            <w:tcW w:w="1843"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38</w:t>
            </w:r>
            <w:r w:rsidR="00C06122">
              <w:rPr>
                <w:color w:val="000000"/>
                <w:sz w:val="24"/>
                <w:szCs w:val="24"/>
              </w:rPr>
              <w:t>4</w:t>
            </w:r>
            <w:r w:rsidRPr="00AB4A0F">
              <w:rPr>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28423E">
            <w:pPr>
              <w:jc w:val="right"/>
              <w:rPr>
                <w:color w:val="000000"/>
                <w:sz w:val="24"/>
                <w:szCs w:val="24"/>
              </w:rPr>
            </w:pPr>
            <w:r w:rsidRPr="00AB4A0F">
              <w:rPr>
                <w:color w:val="000000"/>
                <w:sz w:val="24"/>
                <w:szCs w:val="24"/>
              </w:rPr>
              <w:t xml:space="preserve">              -   </w:t>
            </w:r>
          </w:p>
        </w:tc>
        <w:tc>
          <w:tcPr>
            <w:tcW w:w="1176" w:type="dxa"/>
            <w:tcBorders>
              <w:top w:val="nil"/>
              <w:left w:val="nil"/>
              <w:bottom w:val="single" w:sz="4" w:space="0" w:color="auto"/>
              <w:right w:val="single" w:sz="4" w:space="0" w:color="auto"/>
            </w:tcBorders>
            <w:shd w:val="clear" w:color="auto" w:fill="auto"/>
            <w:noWrap/>
            <w:vAlign w:val="bottom"/>
            <w:hideMark/>
          </w:tcPr>
          <w:p w:rsidR="0027709E" w:rsidRPr="00AB4A0F" w:rsidRDefault="0027709E" w:rsidP="00C06122">
            <w:pPr>
              <w:jc w:val="right"/>
              <w:rPr>
                <w:color w:val="000000"/>
                <w:sz w:val="24"/>
                <w:szCs w:val="24"/>
              </w:rPr>
            </w:pPr>
            <w:r w:rsidRPr="00AB4A0F">
              <w:rPr>
                <w:color w:val="000000"/>
                <w:sz w:val="24"/>
                <w:szCs w:val="24"/>
              </w:rPr>
              <w:t xml:space="preserve">             38</w:t>
            </w:r>
            <w:r w:rsidR="00C06122">
              <w:rPr>
                <w:color w:val="000000"/>
                <w:sz w:val="24"/>
                <w:szCs w:val="24"/>
              </w:rPr>
              <w:t>4</w:t>
            </w:r>
            <w:r w:rsidRPr="00AB4A0F">
              <w:rPr>
                <w:color w:val="000000"/>
                <w:sz w:val="24"/>
                <w:szCs w:val="24"/>
              </w:rPr>
              <w:t xml:space="preserve"> </w:t>
            </w:r>
          </w:p>
        </w:tc>
        <w:tc>
          <w:tcPr>
            <w:tcW w:w="1485" w:type="dxa"/>
            <w:tcBorders>
              <w:top w:val="nil"/>
              <w:left w:val="nil"/>
              <w:bottom w:val="single" w:sz="4" w:space="0" w:color="auto"/>
              <w:right w:val="single" w:sz="4" w:space="0" w:color="auto"/>
            </w:tcBorders>
            <w:vAlign w:val="bottom"/>
          </w:tcPr>
          <w:p w:rsidR="0027709E" w:rsidRPr="004337D2" w:rsidRDefault="0027709E" w:rsidP="00C06122">
            <w:pPr>
              <w:jc w:val="right"/>
              <w:rPr>
                <w:b/>
                <w:color w:val="000000"/>
                <w:sz w:val="24"/>
                <w:szCs w:val="24"/>
              </w:rPr>
            </w:pPr>
            <w:r w:rsidRPr="004337D2">
              <w:rPr>
                <w:b/>
                <w:color w:val="000000"/>
                <w:sz w:val="24"/>
                <w:szCs w:val="24"/>
              </w:rPr>
              <w:t>38</w:t>
            </w:r>
            <w:r w:rsidR="00C06122" w:rsidRPr="004337D2">
              <w:rPr>
                <w:b/>
                <w:color w:val="000000"/>
                <w:sz w:val="24"/>
                <w:szCs w:val="24"/>
              </w:rPr>
              <w:t>4</w:t>
            </w:r>
          </w:p>
        </w:tc>
      </w:tr>
    </w:tbl>
    <w:p w:rsidR="00CE0160" w:rsidRPr="00CE0160" w:rsidRDefault="00CE0160" w:rsidP="00CE0160">
      <w:pPr>
        <w:spacing w:before="240" w:after="120"/>
        <w:ind w:firstLine="709"/>
        <w:jc w:val="center"/>
        <w:rPr>
          <w:i/>
        </w:rPr>
      </w:pPr>
      <w:r w:rsidRPr="00CE0160">
        <w:rPr>
          <w:i/>
        </w:rPr>
        <w:t>(Dự kiến số chi 02 chính sách theo Phụ lục III đính kèm)</w:t>
      </w:r>
    </w:p>
    <w:p w:rsidR="00A30DD4" w:rsidRDefault="00A30DD4" w:rsidP="00322E9F">
      <w:pPr>
        <w:widowControl w:val="0"/>
        <w:spacing w:after="120"/>
        <w:ind w:firstLine="709"/>
        <w:jc w:val="both"/>
        <w:rPr>
          <w:b/>
        </w:rPr>
      </w:pPr>
      <w:r>
        <w:rPr>
          <w:b/>
        </w:rPr>
        <w:t>III. QUÁ TRÌNH XÂY DỰNG DỰ THẢO VĂN BẢN</w:t>
      </w:r>
    </w:p>
    <w:p w:rsidR="00C63C78" w:rsidRDefault="0052141C" w:rsidP="00322E9F">
      <w:pPr>
        <w:widowControl w:val="0"/>
        <w:spacing w:after="120"/>
        <w:ind w:firstLine="709"/>
        <w:jc w:val="both"/>
      </w:pPr>
      <w:r>
        <w:t xml:space="preserve">1. </w:t>
      </w:r>
      <w:r w:rsidR="00C63C78" w:rsidRPr="003F6466">
        <w:rPr>
          <w:lang w:val="vi-VN"/>
        </w:rPr>
        <w:t>Căn cứ Luật ban hành văn bản quy phạm pháp luật</w:t>
      </w:r>
      <w:r w:rsidR="00C63C78">
        <w:t xml:space="preserve"> và các văn bản hướng dẫn, UBND tỉnh đã thực hiện trình tự, thủ tục ban hành Nghị quyết cụ thể như sau:</w:t>
      </w:r>
    </w:p>
    <w:p w:rsidR="00435AE2" w:rsidRDefault="00435AE2" w:rsidP="00322E9F">
      <w:pPr>
        <w:widowControl w:val="0"/>
        <w:spacing w:after="120"/>
        <w:ind w:firstLine="709"/>
        <w:jc w:val="both"/>
      </w:pPr>
      <w:r>
        <w:t>- Ngày 21 tháng 4 năm 2022 Ủy ban nhân dân có Công văn số 3929/UBND-KTNS về việc triển khai xây dựng Nghị quyết về hỗ trợ chi thường xuyên cho một số đơn vị sự nghiệp công lập thu không đủ chi năm 2021 do tác động của dịch COVID-19 trên địa bàn tỉnh. Theo đó giao Sở Tài chính thực hiện xây dựng Nghị quyết về hỗ trợ chi thường xuyên cho một số đơn vị sự nghiệp công lập thu không đủ chi năm 2021 do tác động của dịch Covid-19 trên địa bàn tỉnh theo đúng quy trình được quy định tại Khoản 4 Điều 27 và Khoản 3 Điều 111 Luật Ban hành văn bản quy phạm pháp luật.</w:t>
      </w:r>
    </w:p>
    <w:p w:rsidR="00C63C78" w:rsidRDefault="00C63C78" w:rsidP="00322E9F">
      <w:pPr>
        <w:widowControl w:val="0"/>
        <w:spacing w:after="120"/>
        <w:ind w:firstLine="709"/>
        <w:jc w:val="both"/>
      </w:pPr>
      <w:r>
        <w:t xml:space="preserve">- Ngày 03 tháng 6 năm 2022 Sở Tài chính </w:t>
      </w:r>
      <w:r w:rsidR="00D27F6B">
        <w:t>có Công văn số 3173/STC-TCHCSN</w:t>
      </w:r>
      <w:r w:rsidR="00435AE2">
        <w:t xml:space="preserve"> gửi các sở, ban ngành, Ủy ban Mặt trận Tổ quốc Việt Nam tỉnh và Cổng thông tin điện tử tỉnh Đồng Nai</w:t>
      </w:r>
      <w:r w:rsidR="00D27F6B">
        <w:t xml:space="preserve"> về việc góp ý hồ sơ đề nghị xây dựng Nghị quyết quy định cơ chế hỗ trợ chi thường xuyên đơn vị SNCL thu không đủ bù chi năm 2021 do tác động của dịch COVID-19.</w:t>
      </w:r>
    </w:p>
    <w:p w:rsidR="00435AE2" w:rsidRDefault="00435AE2" w:rsidP="00322E9F">
      <w:pPr>
        <w:widowControl w:val="0"/>
        <w:spacing w:after="120"/>
        <w:ind w:firstLine="709"/>
        <w:jc w:val="both"/>
      </w:pPr>
      <w:r>
        <w:t xml:space="preserve">- Ngày 20 tháng 7 năm 2022, sau khi tiếp thu ý kiến góp ý từ các tổ chức, </w:t>
      </w:r>
      <w:r>
        <w:lastRenderedPageBreak/>
        <w:t>cá nhân, người dân, Sở Tài chính có Công văn số 4256/STC-TCHCSN gửi Sở Tư pháp về việc thẩm định hồ sơ đề nghị xây dựng Nghị quyết quy định chính sách hỗ trợ kinh phí cho một số đơn vị sự nghiệp công lập thu không đủ chi năm 2021 do tác động của dịch COVID-19 trên địa bàn tỉnh.</w:t>
      </w:r>
    </w:p>
    <w:p w:rsidR="00435AE2" w:rsidRDefault="00435AE2" w:rsidP="00322E9F">
      <w:pPr>
        <w:widowControl w:val="0"/>
        <w:spacing w:after="120"/>
        <w:ind w:firstLine="709"/>
        <w:jc w:val="both"/>
      </w:pPr>
      <w:r>
        <w:t xml:space="preserve">- Ngày 29 tháng 7 năm 2022, Sở Tư pháp có Báo cáo thẩm định số 189/BC-STP Hồ sơ đề nghị xây dựng Nghị quyết quy định chính sách hỗ trợ kinh phí cho một số đơn vị sự nghiệp công lập thu không đủ chi năm 2021 do tác động của dịch COVID-19 trên địa bàn tỉnh Đồng Nai. Theo đó Sở Tư pháp thống nhất trình đề nghị xây dựng Nghị quyết, đồng thời đề nghị Sở Tài chính chỉnh lý, hoàn thiện hồ sơ đồ nghị xây dựng Nghị quyết theo </w:t>
      </w:r>
      <w:r w:rsidR="00DB0559">
        <w:t xml:space="preserve">thẩm định </w:t>
      </w:r>
      <w:r>
        <w:t xml:space="preserve">của </w:t>
      </w:r>
      <w:r w:rsidR="00DB0559">
        <w:t>Sở Tư pháp.</w:t>
      </w:r>
    </w:p>
    <w:p w:rsidR="00DB0559" w:rsidRDefault="00DB0559" w:rsidP="00322E9F">
      <w:pPr>
        <w:widowControl w:val="0"/>
        <w:spacing w:after="120"/>
        <w:ind w:firstLine="709"/>
        <w:jc w:val="both"/>
      </w:pPr>
      <w:r>
        <w:t>- Ngày 29 tháng 7 năm 2022, sau khi chính chỉnh lý, hoàn thiện hồ sơ đồ nghị xây dựng Nghị quyết theo thẩm định của Sở Tư pháp, Sở Tài chính gửi hồ sơ hoàn thiện đến UBND tỉnh tại Công văn số 4521/STC-TCHCSN ngày 29/07/2022 về việc hoàn thiện hồ sơ đề nghị xây dựng Nghị quyết.</w:t>
      </w:r>
    </w:p>
    <w:p w:rsidR="00A30DD4" w:rsidRDefault="00D27F6B" w:rsidP="00322E9F">
      <w:pPr>
        <w:widowControl w:val="0"/>
        <w:spacing w:after="120"/>
        <w:ind w:firstLine="709"/>
        <w:jc w:val="both"/>
      </w:pPr>
      <w:r>
        <w:t xml:space="preserve">- Ngày 03 tháng 8 năm 2022 </w:t>
      </w:r>
      <w:r w:rsidR="00A30DD4">
        <w:t>Ủy ban nhân dân tỉnh Đồng Nai có Công văn số 1670/VP-KTNS về việc xin ý kiến thành viên UBND tỉnh về hồ sơ đề nghị xây dựng Nghị quyết.</w:t>
      </w:r>
    </w:p>
    <w:p w:rsidR="00D27F6B" w:rsidRDefault="00D27F6B" w:rsidP="00322E9F">
      <w:pPr>
        <w:widowControl w:val="0"/>
        <w:spacing w:after="120"/>
        <w:ind w:firstLine="709"/>
        <w:jc w:val="both"/>
      </w:pPr>
      <w:r>
        <w:t xml:space="preserve">- Ngày 09 tháng 8 năm 2022 </w:t>
      </w:r>
      <w:r w:rsidR="00DB0559">
        <w:t xml:space="preserve">sau khi tiếp thu, hoàn thiện hồ sơ theo ý kiến Thành viên UBND tỉnh, UBND </w:t>
      </w:r>
      <w:r>
        <w:t>tỉnh có Tờ trình số 114/TTr-UBND Đề nghị xây dựng Nghị quyết quy định chính sách hỗ trợ kinh phí cho một số đơn vị sự nghiệp công lập thu không đủ chi năm 2021 do tác động của dịch COVID-19 trên địa bàn tỉnh Đồng Nai.</w:t>
      </w:r>
    </w:p>
    <w:p w:rsidR="00D27F6B" w:rsidRDefault="00D27F6B" w:rsidP="00322E9F">
      <w:pPr>
        <w:widowControl w:val="0"/>
        <w:spacing w:after="120"/>
        <w:ind w:firstLine="709"/>
        <w:jc w:val="both"/>
      </w:pPr>
      <w:r w:rsidRPr="00DB0559">
        <w:t xml:space="preserve">- Ngày </w:t>
      </w:r>
      <w:r w:rsidR="00DB0559" w:rsidRPr="00DB0559">
        <w:t xml:space="preserve">11 </w:t>
      </w:r>
      <w:r w:rsidRPr="00DB0559">
        <w:t xml:space="preserve">tháng 8 năm 2022 Thường trực HĐND tỉnh có Công văn số </w:t>
      </w:r>
      <w:r w:rsidR="00DB0559" w:rsidRPr="00DB0559">
        <w:t>493/HĐND-VP về việc thống nhất đề nghị xây dựng Nghị quyết về hỗ trợ kinh phí cho một số đơn vị sự nghiệp công lập thu không đủ chi năm 2021 do tác động của dịch COVID-19.</w:t>
      </w:r>
      <w:r w:rsidR="00DB0559">
        <w:t xml:space="preserve"> </w:t>
      </w:r>
    </w:p>
    <w:p w:rsidR="009B69B4" w:rsidRPr="009B69B4" w:rsidRDefault="009B69B4" w:rsidP="00322E9F">
      <w:pPr>
        <w:widowControl w:val="0"/>
        <w:spacing w:after="120"/>
        <w:ind w:firstLine="709"/>
        <w:jc w:val="both"/>
      </w:pPr>
      <w:r>
        <w:t xml:space="preserve">- Ngày </w:t>
      </w:r>
      <w:r w:rsidR="00DA1002">
        <w:t xml:space="preserve">12/8/2022 </w:t>
      </w:r>
      <w:r>
        <w:t xml:space="preserve">Ủy ban nhân dân tỉnh </w:t>
      </w:r>
      <w:r w:rsidRPr="009B69B4">
        <w:t xml:space="preserve">có Công văn số </w:t>
      </w:r>
      <w:r w:rsidR="00DA1002">
        <w:t>8446</w:t>
      </w:r>
      <w:r w:rsidRPr="009B69B4">
        <w:t xml:space="preserve">/UBND-KGVX </w:t>
      </w:r>
      <w:r w:rsidR="00DA1002">
        <w:rPr>
          <w:lang w:val="nl-NL"/>
        </w:rPr>
        <w:t xml:space="preserve">về việc hoàn chỉnh hồ sơ dự thảo Nghị quyết về hỗ trợ kinh phí cho một số đơn vị sự nghiệp công lập thu không đủ chi năm 2021 do tác động của dịch COVID-19. Theo đó </w:t>
      </w:r>
      <w:r w:rsidRPr="009B69B4">
        <w:t>giao</w:t>
      </w:r>
      <w:r>
        <w:t xml:space="preserve"> Sở Tài chính chủ trì xây dựng dự thảo </w:t>
      </w:r>
      <w:r w:rsidR="00DA1002">
        <w:t>Nghị quyết.</w:t>
      </w:r>
    </w:p>
    <w:p w:rsidR="00A30DD4" w:rsidRDefault="00D27F6B" w:rsidP="00322E9F">
      <w:pPr>
        <w:widowControl w:val="0"/>
        <w:spacing w:after="120"/>
        <w:ind w:firstLine="709"/>
        <w:jc w:val="both"/>
      </w:pPr>
      <w:r>
        <w:t xml:space="preserve">- Ngày </w:t>
      </w:r>
      <w:r w:rsidR="00D841F1">
        <w:t xml:space="preserve">……….. Sở Tài chính có Công văn số                gửi Cổng Thông tin điện tử tỉnh Đồng Nai </w:t>
      </w:r>
      <w:r w:rsidR="009B69B4">
        <w:t>và các sở, ban ngành, Mặt trận Tổ quốc Việt Nam tỉnh Đồng Nai để các sở, ban, ngành góp ý và Mặt trân Tổ quốc Việt Nam thực hiện phản biện theo quy định</w:t>
      </w:r>
    </w:p>
    <w:p w:rsidR="009B69B4" w:rsidRDefault="009B69B4" w:rsidP="00322E9F">
      <w:pPr>
        <w:widowControl w:val="0"/>
        <w:spacing w:after="120"/>
        <w:ind w:firstLine="709"/>
        <w:jc w:val="both"/>
      </w:pPr>
      <w:r>
        <w:t xml:space="preserve">- </w:t>
      </w:r>
      <w:r w:rsidRPr="00652108">
        <w:t xml:space="preserve">Sau khi nhận được văn bản góp ý của các </w:t>
      </w:r>
      <w:r>
        <w:t>s</w:t>
      </w:r>
      <w:r w:rsidRPr="00652108">
        <w:t xml:space="preserve">ở, ngành, đơn vị liên quan, Sở </w:t>
      </w:r>
      <w:r>
        <w:t>Tài chính</w:t>
      </w:r>
      <w:r w:rsidRPr="00652108">
        <w:t xml:space="preserve"> đã chỉnh lý và có </w:t>
      </w:r>
      <w:r>
        <w:t>b</w:t>
      </w:r>
      <w:r w:rsidRPr="00652108">
        <w:t>ảng tổng hợp, giải trình, tiếp thu ý kiến đóng góp số ……/</w:t>
      </w:r>
      <w:r>
        <w:t xml:space="preserve">STC-TCHCSN </w:t>
      </w:r>
      <w:r w:rsidRPr="00652108">
        <w:t>ngày …./…/202</w:t>
      </w:r>
      <w:r>
        <w:t>2.</w:t>
      </w:r>
    </w:p>
    <w:p w:rsidR="009B69B4" w:rsidRDefault="009B69B4" w:rsidP="00322E9F">
      <w:pPr>
        <w:widowControl w:val="0"/>
        <w:spacing w:after="120"/>
        <w:ind w:firstLine="709"/>
        <w:jc w:val="both"/>
      </w:pPr>
      <w:r>
        <w:t>- Ngày  ………… Sở Tài chính có Công văn số …/</w:t>
      </w:r>
      <w:r w:rsidRPr="009B69B4">
        <w:t xml:space="preserve"> </w:t>
      </w:r>
      <w:r>
        <w:t>STC-TCHCSN về việc đề nghị Sở Tư pháp thực hiện thẩm định hồ sơ trình Nghị quyết trước khi tham mưu Ủy ban nhân dân trình Hội đổng nhân dân.</w:t>
      </w:r>
    </w:p>
    <w:p w:rsidR="009B69B4" w:rsidRDefault="009B69B4" w:rsidP="00322E9F">
      <w:pPr>
        <w:widowControl w:val="0"/>
        <w:spacing w:after="120"/>
        <w:ind w:firstLine="709"/>
        <w:jc w:val="both"/>
      </w:pPr>
      <w:r>
        <w:lastRenderedPageBreak/>
        <w:t xml:space="preserve">- Sau khi </w:t>
      </w:r>
      <w:r w:rsidRPr="00652108">
        <w:t>tiếp thu và chỉnh lý, hoàn thiện theo những nội dung thẩm định của Sở Tư pháp tại báo cáo thẩm định số ……/BC-STP ngày …/…/202</w:t>
      </w:r>
      <w:r>
        <w:t>2</w:t>
      </w:r>
      <w:r w:rsidRPr="00652108">
        <w:t xml:space="preserve"> về việc thẩm định dự thảo Nghị quyết</w:t>
      </w:r>
      <w:r>
        <w:t>……, n</w:t>
      </w:r>
      <w:r w:rsidRPr="00652108">
        <w:t>gày …/…/202</w:t>
      </w:r>
      <w:r>
        <w:t>2</w:t>
      </w:r>
      <w:r w:rsidRPr="00652108">
        <w:t xml:space="preserve">, Sở </w:t>
      </w:r>
      <w:r>
        <w:t>Tài chính</w:t>
      </w:r>
      <w:r w:rsidRPr="00652108">
        <w:t xml:space="preserve"> đã có </w:t>
      </w:r>
      <w:r>
        <w:t xml:space="preserve">Công văn </w:t>
      </w:r>
      <w:r w:rsidRPr="00652108">
        <w:t>số ……/</w:t>
      </w:r>
      <w:r>
        <w:t xml:space="preserve">STC-TCHCSN </w:t>
      </w:r>
      <w:r w:rsidRPr="00652108">
        <w:t xml:space="preserve">trình UBND tỉnh về việc hoàn thiện hồ sơ </w:t>
      </w:r>
      <w:r w:rsidRPr="005D07EF">
        <w:t>Nghị quyết</w:t>
      </w:r>
      <w:r>
        <w:t>…</w:t>
      </w:r>
    </w:p>
    <w:p w:rsidR="0052141C" w:rsidRDefault="0052141C" w:rsidP="00322E9F">
      <w:pPr>
        <w:widowControl w:val="0"/>
        <w:spacing w:after="120"/>
        <w:ind w:firstLine="709"/>
        <w:jc w:val="both"/>
      </w:pPr>
      <w:r>
        <w:t>2. Để có cơ sở xác định đối tượng (đơn vị sự nghiệp công lập thu không đủ bù chi năm 2021 do tác động của dịch COVID-19) và số kinh phí dự kiến, UBND tỉnh rà soát các đơn vị phát sinh thiếu hụt kinh phí, cụ thể như sau:</w:t>
      </w:r>
    </w:p>
    <w:p w:rsidR="0052141C" w:rsidRDefault="00DD6884" w:rsidP="00322E9F">
      <w:pPr>
        <w:widowControl w:val="0"/>
        <w:spacing w:after="120"/>
        <w:ind w:firstLine="709"/>
        <w:jc w:val="both"/>
      </w:pPr>
      <w:r>
        <w:t xml:space="preserve">- Ngày 27 tháng </w:t>
      </w:r>
      <w:r w:rsidR="0052141C">
        <w:t>12</w:t>
      </w:r>
      <w:r>
        <w:t xml:space="preserve"> năm </w:t>
      </w:r>
      <w:r w:rsidR="0052141C">
        <w:t>2021 Sở Tài chính có Công văn số 8626/STC-TCHCSN về việc phối hợp tham mưu cơ chế, chính sách đặc thù hỗ trợ đơn vị sự nghiệp công lập năm 2021 mất khả năng tự đảm bảo do giản cách xã hội phòng chống dịch COVID-19.</w:t>
      </w:r>
    </w:p>
    <w:p w:rsidR="0052141C" w:rsidRDefault="0052141C" w:rsidP="0052141C">
      <w:pPr>
        <w:widowControl w:val="0"/>
        <w:spacing w:after="120"/>
        <w:ind w:firstLine="709"/>
        <w:jc w:val="both"/>
      </w:pPr>
      <w:r>
        <w:t>- Ngày 24</w:t>
      </w:r>
      <w:r w:rsidR="00DD6884">
        <w:t xml:space="preserve"> tháng </w:t>
      </w:r>
      <w:r>
        <w:t>5</w:t>
      </w:r>
      <w:r w:rsidR="00DD6884">
        <w:t xml:space="preserve"> năm </w:t>
      </w:r>
      <w:r>
        <w:t>2022 Sở Tài chính có Công văn số 2916/STC-TCHCSN về việc rà soát, tổng hợp ĐVSNCL cần được hỗ trợ kinh phí do thu không đủ bù chi năm 2021.</w:t>
      </w:r>
    </w:p>
    <w:p w:rsidR="0052141C" w:rsidRPr="00A30DD4" w:rsidRDefault="0052141C" w:rsidP="0052141C">
      <w:pPr>
        <w:widowControl w:val="0"/>
        <w:spacing w:after="120"/>
        <w:ind w:firstLine="709"/>
        <w:jc w:val="both"/>
      </w:pPr>
      <w:r>
        <w:t>- Ngày 29</w:t>
      </w:r>
      <w:r w:rsidR="00DD6884">
        <w:t xml:space="preserve"> tháng </w:t>
      </w:r>
      <w:r>
        <w:t>7</w:t>
      </w:r>
      <w:r w:rsidR="00DD6884">
        <w:t xml:space="preserve"> tháng </w:t>
      </w:r>
      <w:r>
        <w:t>2022 Sở Tài chính có Công văn số 4526/STC-TCHCSN về việc rà soát ĐVSNCL cần được hỗ trợ kinh phí do thu không đủ bù chi năm 2021 do tác động của dịch COVID-19 (lần 3).</w:t>
      </w:r>
    </w:p>
    <w:p w:rsidR="00AC28B1" w:rsidRDefault="009B69B4" w:rsidP="00322E9F">
      <w:pPr>
        <w:spacing w:after="120"/>
        <w:ind w:firstLine="709"/>
        <w:jc w:val="both"/>
        <w:rPr>
          <w:b/>
        </w:rPr>
      </w:pPr>
      <w:r>
        <w:rPr>
          <w:b/>
        </w:rPr>
        <w:t>IV. BỐ CỤC VÀ NỘI DUNG CƠ BẢN CỦA DỰ THẢO NGHỊ QUYẾT</w:t>
      </w:r>
    </w:p>
    <w:p w:rsidR="009B69B4" w:rsidRDefault="009B69B4" w:rsidP="00322E9F">
      <w:pPr>
        <w:spacing w:after="120"/>
        <w:ind w:firstLine="709"/>
        <w:jc w:val="both"/>
        <w:rPr>
          <w:b/>
        </w:rPr>
      </w:pPr>
      <w:r>
        <w:rPr>
          <w:b/>
        </w:rPr>
        <w:t>1. Bố cục</w:t>
      </w:r>
    </w:p>
    <w:p w:rsidR="004177D1" w:rsidRDefault="004177D1" w:rsidP="00322E9F">
      <w:pPr>
        <w:spacing w:after="120"/>
        <w:ind w:firstLine="709"/>
        <w:jc w:val="both"/>
      </w:pPr>
      <w:r w:rsidRPr="004177D1">
        <w:t>Nghị</w:t>
      </w:r>
      <w:r w:rsidR="00786317">
        <w:t xml:space="preserve"> quyết gồm 7</w:t>
      </w:r>
      <w:r>
        <w:t xml:space="preserve"> Điều, cụ thể như sau:</w:t>
      </w:r>
    </w:p>
    <w:p w:rsidR="004177D1" w:rsidRDefault="004177D1" w:rsidP="00322E9F">
      <w:pPr>
        <w:spacing w:after="120"/>
        <w:ind w:firstLine="709"/>
        <w:jc w:val="both"/>
      </w:pPr>
      <w:r>
        <w:t>Điều 1. Phạm vi điều chỉnh</w:t>
      </w:r>
    </w:p>
    <w:p w:rsidR="004177D1" w:rsidRDefault="004177D1" w:rsidP="00322E9F">
      <w:pPr>
        <w:spacing w:after="120"/>
        <w:ind w:firstLine="709"/>
        <w:jc w:val="both"/>
      </w:pPr>
      <w:r>
        <w:t>Điều 2. Đối tượng áp dụng</w:t>
      </w:r>
    </w:p>
    <w:p w:rsidR="00786317" w:rsidRDefault="00786317" w:rsidP="00322E9F">
      <w:pPr>
        <w:spacing w:after="120"/>
        <w:ind w:firstLine="709"/>
        <w:jc w:val="both"/>
      </w:pPr>
      <w:r w:rsidRPr="00786317">
        <w:t>Điều 3. Nguyên tắc hỗ trợ chi thường xuyên</w:t>
      </w:r>
    </w:p>
    <w:p w:rsidR="004177D1" w:rsidRDefault="004177D1" w:rsidP="00322E9F">
      <w:pPr>
        <w:spacing w:after="120"/>
        <w:ind w:firstLine="709"/>
        <w:jc w:val="both"/>
      </w:pPr>
      <w:r>
        <w:t xml:space="preserve">Điều </w:t>
      </w:r>
      <w:r w:rsidR="00786317">
        <w:t>4</w:t>
      </w:r>
      <w:r w:rsidR="00786317" w:rsidRPr="00786317">
        <w:t>. Sử dụng nguồn Quỹ dự phòng ổn định thu nhập (Quỹ bổ sung thu nhập), Quỹ khen thưởng, Quỹ phúc lợi, Nguồn kinh phí cải cách tiền lương chưa sử dụng năm 2020 chuyển sang năm 2021 để chi trả chi phí tiền lương</w:t>
      </w:r>
    </w:p>
    <w:p w:rsidR="004177D1" w:rsidRPr="00786317" w:rsidRDefault="00786317" w:rsidP="00786317">
      <w:pPr>
        <w:spacing w:after="120"/>
        <w:ind w:firstLine="709"/>
        <w:jc w:val="both"/>
      </w:pPr>
      <w:r>
        <w:t>Điều 5</w:t>
      </w:r>
      <w:r w:rsidR="004177D1">
        <w:t xml:space="preserve">. </w:t>
      </w:r>
      <w:r w:rsidRPr="00786317">
        <w:t>Ngân sách nhà nước hỗ trợ một phần chi phí tiền lương và chi phí hoạt động thường xuyên ngoài lương</w:t>
      </w:r>
    </w:p>
    <w:p w:rsidR="004177D1" w:rsidRDefault="004177D1" w:rsidP="00322E9F">
      <w:pPr>
        <w:spacing w:after="120"/>
        <w:ind w:firstLine="709"/>
        <w:jc w:val="both"/>
      </w:pPr>
      <w:r>
        <w:t xml:space="preserve">Điều </w:t>
      </w:r>
      <w:r w:rsidR="00786317">
        <w:t>6</w:t>
      </w:r>
      <w:r>
        <w:t xml:space="preserve">. </w:t>
      </w:r>
      <w:r w:rsidRPr="004177D1">
        <w:t>Nguồn kinh phí thực hiện hỗ trợ chi thường xuyên</w:t>
      </w:r>
    </w:p>
    <w:p w:rsidR="004177D1" w:rsidRPr="004177D1" w:rsidRDefault="00786317" w:rsidP="00322E9F">
      <w:pPr>
        <w:spacing w:after="120"/>
        <w:ind w:firstLine="709"/>
        <w:jc w:val="both"/>
      </w:pPr>
      <w:r>
        <w:t>Điều 7</w:t>
      </w:r>
      <w:r w:rsidR="004177D1">
        <w:t xml:space="preserve">. </w:t>
      </w:r>
      <w:r w:rsidR="004177D1" w:rsidRPr="004177D1">
        <w:t>Tổ chức thực hiện</w:t>
      </w:r>
    </w:p>
    <w:p w:rsidR="009B69B4" w:rsidRDefault="009B69B4" w:rsidP="00322E9F">
      <w:pPr>
        <w:spacing w:after="120"/>
        <w:ind w:firstLine="709"/>
        <w:jc w:val="both"/>
        <w:rPr>
          <w:b/>
        </w:rPr>
      </w:pPr>
      <w:r>
        <w:rPr>
          <w:b/>
        </w:rPr>
        <w:t>2. Nội dung cơ bản của dự thảo văn bản</w:t>
      </w:r>
    </w:p>
    <w:p w:rsidR="004177D1" w:rsidRDefault="004177D1" w:rsidP="00322E9F">
      <w:pPr>
        <w:shd w:val="clear" w:color="auto" w:fill="FFFFFF"/>
        <w:tabs>
          <w:tab w:val="left" w:pos="1134"/>
        </w:tabs>
        <w:spacing w:after="120"/>
        <w:ind w:firstLine="851"/>
        <w:jc w:val="both"/>
        <w:rPr>
          <w:bCs/>
          <w:color w:val="000000"/>
          <w:lang w:val="nl-NL"/>
        </w:rPr>
      </w:pPr>
      <w:r>
        <w:rPr>
          <w:b/>
        </w:rPr>
        <w:t xml:space="preserve">Điều 1. </w:t>
      </w:r>
      <w:r w:rsidRPr="00AC76D3">
        <w:rPr>
          <w:b/>
          <w:bCs/>
          <w:color w:val="000000"/>
          <w:lang w:val="nl-NL"/>
        </w:rPr>
        <w:t>Phạm vi điều chỉnh</w:t>
      </w:r>
      <w:r w:rsidRPr="00AC76D3">
        <w:rPr>
          <w:bCs/>
          <w:color w:val="000000"/>
          <w:lang w:val="nl-NL"/>
        </w:rPr>
        <w:t xml:space="preserve"> </w:t>
      </w:r>
    </w:p>
    <w:p w:rsidR="004177D1" w:rsidRDefault="004177D1" w:rsidP="00322E9F">
      <w:pPr>
        <w:shd w:val="clear" w:color="auto" w:fill="FFFFFF"/>
        <w:tabs>
          <w:tab w:val="left" w:pos="1134"/>
        </w:tabs>
        <w:spacing w:after="120"/>
        <w:ind w:firstLine="851"/>
        <w:jc w:val="both"/>
        <w:rPr>
          <w:bCs/>
          <w:color w:val="000000"/>
          <w:lang w:val="nl-NL"/>
        </w:rPr>
      </w:pPr>
      <w:r w:rsidRPr="00AC76D3">
        <w:rPr>
          <w:bCs/>
          <w:color w:val="000000"/>
          <w:lang w:val="nl-NL"/>
        </w:rPr>
        <w:t xml:space="preserve">Nghị quyết quy định về chính </w:t>
      </w:r>
      <w:r w:rsidRPr="00013F0D">
        <w:rPr>
          <w:bCs/>
          <w:color w:val="000000"/>
          <w:lang w:val="nl-NL"/>
        </w:rPr>
        <w:t>sách hỗ trợ chi th</w:t>
      </w:r>
      <w:r w:rsidRPr="00013F0D">
        <w:rPr>
          <w:rFonts w:hint="eastAsia"/>
          <w:bCs/>
          <w:color w:val="000000"/>
          <w:lang w:val="nl-NL"/>
        </w:rPr>
        <w:t>ư</w:t>
      </w:r>
      <w:r w:rsidRPr="00013F0D">
        <w:rPr>
          <w:bCs/>
          <w:color w:val="000000"/>
          <w:lang w:val="nl-NL"/>
        </w:rPr>
        <w:t>ờng xuyên cho</w:t>
      </w:r>
      <w:r w:rsidRPr="00AC76D3">
        <w:rPr>
          <w:bCs/>
          <w:color w:val="000000"/>
          <w:lang w:val="nl-NL"/>
        </w:rPr>
        <w:t xml:space="preserve"> các đ</w:t>
      </w:r>
      <w:r w:rsidRPr="00AC76D3">
        <w:rPr>
          <w:rFonts w:hint="eastAsia"/>
          <w:bCs/>
          <w:color w:val="000000"/>
          <w:lang w:val="nl-NL"/>
        </w:rPr>
        <w:t>ơ</w:t>
      </w:r>
      <w:r w:rsidRPr="00AC76D3">
        <w:rPr>
          <w:bCs/>
          <w:color w:val="000000"/>
          <w:lang w:val="nl-NL"/>
        </w:rPr>
        <w:t xml:space="preserve">n vị sự nghiệp công lập </w:t>
      </w:r>
      <w:r>
        <w:rPr>
          <w:bCs/>
          <w:color w:val="000000"/>
          <w:lang w:val="nl-NL"/>
        </w:rPr>
        <w:t xml:space="preserve">(ĐVSNCL) </w:t>
      </w:r>
      <w:r w:rsidRPr="00AC76D3">
        <w:rPr>
          <w:bCs/>
          <w:color w:val="000000"/>
          <w:lang w:val="nl-NL"/>
        </w:rPr>
        <w:t xml:space="preserve">thu không đủ chi năm 2021 do tác động của dịch COVID-19, không bao gồm các </w:t>
      </w:r>
      <w:r>
        <w:rPr>
          <w:bCs/>
          <w:color w:val="000000"/>
          <w:lang w:val="nl-NL"/>
        </w:rPr>
        <w:t>ĐVSNCL</w:t>
      </w:r>
      <w:r w:rsidRPr="00AC76D3">
        <w:rPr>
          <w:bCs/>
          <w:color w:val="000000"/>
          <w:lang w:val="nl-NL"/>
        </w:rPr>
        <w:t xml:space="preserve"> thực hiện nhiệm vụ cung cấp dịch vụ công hoặc phục vụ quản lý nhà n</w:t>
      </w:r>
      <w:r w:rsidRPr="00AC76D3">
        <w:rPr>
          <w:rFonts w:hint="eastAsia"/>
          <w:bCs/>
          <w:color w:val="000000"/>
          <w:lang w:val="nl-NL"/>
        </w:rPr>
        <w:t>ư</w:t>
      </w:r>
      <w:r w:rsidRPr="00AC76D3">
        <w:rPr>
          <w:bCs/>
          <w:color w:val="000000"/>
          <w:lang w:val="nl-NL"/>
        </w:rPr>
        <w:t>ớc trong các lĩnh vực chuyên môn y tế.</w:t>
      </w:r>
    </w:p>
    <w:p w:rsidR="004177D1" w:rsidRDefault="004177D1" w:rsidP="00322E9F">
      <w:pPr>
        <w:spacing w:after="120"/>
        <w:ind w:firstLine="709"/>
        <w:jc w:val="both"/>
        <w:rPr>
          <w:b/>
          <w:bCs/>
          <w:color w:val="000000"/>
          <w:lang w:val="nl-NL"/>
        </w:rPr>
      </w:pPr>
      <w:r w:rsidRPr="004177D1">
        <w:rPr>
          <w:b/>
        </w:rPr>
        <w:lastRenderedPageBreak/>
        <w:t xml:space="preserve">Điều 2. </w:t>
      </w:r>
      <w:r w:rsidRPr="00AC76D3">
        <w:rPr>
          <w:b/>
          <w:bCs/>
          <w:color w:val="000000"/>
          <w:lang w:val="nl-NL"/>
        </w:rPr>
        <w:t>Đối tượng áp dụng</w:t>
      </w:r>
    </w:p>
    <w:p w:rsidR="001D5DA8" w:rsidRDefault="001D5DA8" w:rsidP="001D5DA8">
      <w:pPr>
        <w:shd w:val="clear" w:color="auto" w:fill="FFFFFF"/>
        <w:spacing w:after="120" w:line="264" w:lineRule="auto"/>
        <w:ind w:firstLine="680"/>
        <w:jc w:val="both"/>
        <w:rPr>
          <w:bCs/>
          <w:color w:val="000000"/>
          <w:lang w:val="nl-NL"/>
        </w:rPr>
      </w:pPr>
      <w:r>
        <w:rPr>
          <w:bCs/>
          <w:color w:val="000000"/>
          <w:lang w:val="nl-NL"/>
        </w:rPr>
        <w:t>1. Đài Phát thanh – Truyền hình tỉnh Đồng Nai</w:t>
      </w:r>
    </w:p>
    <w:p w:rsidR="001D5DA8" w:rsidRDefault="001D5DA8" w:rsidP="001D5DA8">
      <w:pPr>
        <w:shd w:val="clear" w:color="auto" w:fill="FFFFFF"/>
        <w:spacing w:after="120" w:line="264" w:lineRule="auto"/>
        <w:ind w:firstLine="680"/>
        <w:jc w:val="both"/>
        <w:rPr>
          <w:bCs/>
          <w:color w:val="000000"/>
          <w:lang w:val="nl-NL"/>
        </w:rPr>
      </w:pPr>
      <w:r>
        <w:rPr>
          <w:bCs/>
          <w:color w:val="000000"/>
          <w:lang w:val="nl-NL"/>
        </w:rPr>
        <w:t>2. Trung tâm Tư vấn hỗ trợ doanh nghiệp tỉnh Đồng Nai</w:t>
      </w:r>
    </w:p>
    <w:p w:rsidR="001D5DA8" w:rsidRDefault="001D5DA8" w:rsidP="001D5DA8">
      <w:pPr>
        <w:shd w:val="clear" w:color="auto" w:fill="FFFFFF"/>
        <w:spacing w:after="120" w:line="264" w:lineRule="auto"/>
        <w:ind w:firstLine="680"/>
        <w:jc w:val="both"/>
        <w:rPr>
          <w:bCs/>
          <w:color w:val="000000"/>
          <w:lang w:val="nl-NL"/>
        </w:rPr>
      </w:pPr>
      <w:r>
        <w:rPr>
          <w:bCs/>
          <w:color w:val="000000"/>
          <w:lang w:val="nl-NL"/>
        </w:rPr>
        <w:t>3. Trung tâm Dịch vụ việc làm tỉnh Đồng Nai</w:t>
      </w:r>
    </w:p>
    <w:p w:rsidR="001D5DA8" w:rsidRDefault="001D5DA8" w:rsidP="001D5DA8">
      <w:pPr>
        <w:shd w:val="clear" w:color="auto" w:fill="FFFFFF"/>
        <w:spacing w:after="120" w:line="264" w:lineRule="auto"/>
        <w:ind w:firstLine="680"/>
        <w:jc w:val="both"/>
        <w:rPr>
          <w:bCs/>
          <w:color w:val="000000"/>
          <w:lang w:val="nl-NL"/>
        </w:rPr>
      </w:pPr>
      <w:r>
        <w:rPr>
          <w:bCs/>
          <w:color w:val="000000"/>
          <w:lang w:val="nl-NL"/>
        </w:rPr>
        <w:t>4. Nhà Thiếu nhi tỉnh Đồng Nai</w:t>
      </w:r>
    </w:p>
    <w:p w:rsidR="004177D1" w:rsidRDefault="001D5DA8" w:rsidP="001D5DA8">
      <w:pPr>
        <w:spacing w:after="120"/>
        <w:ind w:firstLine="709"/>
        <w:jc w:val="both"/>
        <w:rPr>
          <w:bCs/>
          <w:color w:val="000000"/>
          <w:lang w:val="nl-NL"/>
        </w:rPr>
      </w:pPr>
      <w:r>
        <w:rPr>
          <w:bCs/>
          <w:color w:val="000000"/>
          <w:lang w:val="nl-NL"/>
        </w:rPr>
        <w:t>5. Ban Quản lý chợ Long Khánh</w:t>
      </w:r>
    </w:p>
    <w:p w:rsidR="001D5DA8" w:rsidRDefault="001D5DA8" w:rsidP="001D5DA8">
      <w:pPr>
        <w:shd w:val="clear" w:color="auto" w:fill="FFFFFF"/>
        <w:spacing w:after="120" w:line="264" w:lineRule="auto"/>
        <w:ind w:firstLine="680"/>
        <w:jc w:val="both"/>
        <w:rPr>
          <w:b/>
          <w:bCs/>
          <w:color w:val="000000"/>
          <w:lang w:val="nl-NL"/>
        </w:rPr>
      </w:pPr>
      <w:r>
        <w:rPr>
          <w:b/>
          <w:bCs/>
          <w:color w:val="000000"/>
          <w:lang w:val="nl-NL"/>
        </w:rPr>
        <w:t>Điều 3. Nguyên tắc hỗ trợ chi thường xuyên</w:t>
      </w:r>
    </w:p>
    <w:p w:rsidR="001D5DA8" w:rsidRPr="004565DD" w:rsidRDefault="001D5DA8" w:rsidP="001D5DA8">
      <w:pPr>
        <w:shd w:val="clear" w:color="auto" w:fill="FFFFFF"/>
        <w:spacing w:after="120" w:line="264" w:lineRule="auto"/>
        <w:ind w:firstLine="680"/>
        <w:jc w:val="both"/>
        <w:rPr>
          <w:bCs/>
          <w:color w:val="000000"/>
          <w:lang w:val="nl-NL"/>
        </w:rPr>
      </w:pPr>
      <w:r w:rsidRPr="004565DD">
        <w:rPr>
          <w:bCs/>
          <w:color w:val="000000"/>
          <w:lang w:val="nl-NL"/>
        </w:rPr>
        <w:t>1. Các đ</w:t>
      </w:r>
      <w:r w:rsidRPr="004565DD">
        <w:rPr>
          <w:rFonts w:hint="eastAsia"/>
          <w:bCs/>
          <w:color w:val="000000"/>
          <w:lang w:val="nl-NL"/>
        </w:rPr>
        <w:t>ơ</w:t>
      </w:r>
      <w:r w:rsidRPr="004565DD">
        <w:rPr>
          <w:bCs/>
          <w:color w:val="000000"/>
          <w:lang w:val="nl-NL"/>
        </w:rPr>
        <w:t>n vị sự nghiệp công lập đ</w:t>
      </w:r>
      <w:r w:rsidRPr="004565DD">
        <w:rPr>
          <w:rFonts w:hint="eastAsia"/>
          <w:bCs/>
          <w:color w:val="000000"/>
          <w:lang w:val="nl-NL"/>
        </w:rPr>
        <w:t>ư</w:t>
      </w:r>
      <w:r w:rsidRPr="004565DD">
        <w:rPr>
          <w:bCs/>
          <w:color w:val="000000"/>
          <w:lang w:val="nl-NL"/>
        </w:rPr>
        <w:t>ợc c</w:t>
      </w:r>
      <w:r w:rsidRPr="004565DD">
        <w:rPr>
          <w:rFonts w:hint="eastAsia"/>
          <w:bCs/>
          <w:color w:val="000000"/>
          <w:lang w:val="nl-NL"/>
        </w:rPr>
        <w:t>ơ</w:t>
      </w:r>
      <w:r w:rsidRPr="004565DD">
        <w:rPr>
          <w:bCs/>
          <w:color w:val="000000"/>
          <w:lang w:val="nl-NL"/>
        </w:rPr>
        <w:t xml:space="preserve"> quan có thẩm quyền quyết định phân loại và giao quyền tự chủ tài chính năm 2021 theo quy định đ</w:t>
      </w:r>
      <w:r w:rsidRPr="004565DD">
        <w:rPr>
          <w:rFonts w:hint="eastAsia"/>
          <w:bCs/>
          <w:color w:val="000000"/>
          <w:lang w:val="nl-NL"/>
        </w:rPr>
        <w:t>ư</w:t>
      </w:r>
      <w:r w:rsidRPr="004565DD">
        <w:rPr>
          <w:bCs/>
          <w:color w:val="000000"/>
          <w:lang w:val="nl-NL"/>
        </w:rPr>
        <w:t>ợc xác định có tổng nguồn thu nhỏ h</w:t>
      </w:r>
      <w:r w:rsidRPr="004565DD">
        <w:rPr>
          <w:rFonts w:hint="eastAsia"/>
          <w:bCs/>
          <w:color w:val="000000"/>
          <w:lang w:val="nl-NL"/>
        </w:rPr>
        <w:t>ơ</w:t>
      </w:r>
      <w:r w:rsidRPr="004565DD">
        <w:rPr>
          <w:bCs/>
          <w:color w:val="000000"/>
          <w:lang w:val="nl-NL"/>
        </w:rPr>
        <w:t>n tổng chi hoạt động th</w:t>
      </w:r>
      <w:r w:rsidRPr="004565DD">
        <w:rPr>
          <w:rFonts w:hint="eastAsia"/>
          <w:bCs/>
          <w:color w:val="000000"/>
          <w:lang w:val="nl-NL"/>
        </w:rPr>
        <w:t>ư</w:t>
      </w:r>
      <w:r w:rsidRPr="004565DD">
        <w:rPr>
          <w:bCs/>
          <w:color w:val="000000"/>
          <w:lang w:val="nl-NL"/>
        </w:rPr>
        <w:t>ờng xuyên do ảnh h</w:t>
      </w:r>
      <w:r w:rsidRPr="004565DD">
        <w:rPr>
          <w:rFonts w:hint="eastAsia"/>
          <w:bCs/>
          <w:color w:val="000000"/>
          <w:lang w:val="nl-NL"/>
        </w:rPr>
        <w:t>ư</w:t>
      </w:r>
      <w:r w:rsidRPr="004565DD">
        <w:rPr>
          <w:bCs/>
          <w:color w:val="000000"/>
          <w:lang w:val="nl-NL"/>
        </w:rPr>
        <w:t xml:space="preserve">ởng của dịch COVID-19 năm 2021 thì </w:t>
      </w:r>
      <w:r w:rsidRPr="004565DD">
        <w:rPr>
          <w:rFonts w:hint="eastAsia"/>
          <w:bCs/>
          <w:color w:val="000000"/>
          <w:lang w:val="nl-NL"/>
        </w:rPr>
        <w:t>đư</w:t>
      </w:r>
      <w:r w:rsidRPr="004565DD">
        <w:rPr>
          <w:bCs/>
          <w:color w:val="000000"/>
          <w:lang w:val="nl-NL"/>
        </w:rPr>
        <w:t xml:space="preserve">ợc </w:t>
      </w:r>
      <w:r>
        <w:rPr>
          <w:bCs/>
          <w:color w:val="000000"/>
          <w:lang w:val="nl-NL"/>
        </w:rPr>
        <w:t xml:space="preserve">áp dụng chính sách </w:t>
      </w:r>
      <w:r w:rsidRPr="004565DD">
        <w:rPr>
          <w:bCs/>
          <w:color w:val="000000"/>
          <w:lang w:val="nl-NL"/>
        </w:rPr>
        <w:t>hỗ trợ chi th</w:t>
      </w:r>
      <w:r w:rsidRPr="004565DD">
        <w:rPr>
          <w:rFonts w:hint="eastAsia"/>
          <w:bCs/>
          <w:color w:val="000000"/>
          <w:lang w:val="nl-NL"/>
        </w:rPr>
        <w:t>ư</w:t>
      </w:r>
      <w:r w:rsidRPr="004565DD">
        <w:rPr>
          <w:bCs/>
          <w:color w:val="000000"/>
          <w:lang w:val="nl-NL"/>
        </w:rPr>
        <w:t>ờng xuyên.</w:t>
      </w:r>
    </w:p>
    <w:p w:rsidR="001D5DA8" w:rsidRDefault="001D5DA8" w:rsidP="001D5DA8">
      <w:pPr>
        <w:spacing w:after="120"/>
        <w:ind w:firstLine="709"/>
        <w:jc w:val="both"/>
        <w:rPr>
          <w:bCs/>
          <w:color w:val="000000"/>
          <w:lang w:val="nl-NL"/>
        </w:rPr>
      </w:pPr>
      <w:r w:rsidRPr="004565DD">
        <w:rPr>
          <w:bCs/>
          <w:color w:val="000000"/>
          <w:lang w:val="nl-NL"/>
        </w:rPr>
        <w:t>2. Không hỗ trợ chi th</w:t>
      </w:r>
      <w:r w:rsidRPr="004565DD">
        <w:rPr>
          <w:rFonts w:hint="eastAsia"/>
          <w:bCs/>
          <w:color w:val="000000"/>
          <w:lang w:val="nl-NL"/>
        </w:rPr>
        <w:t>ư</w:t>
      </w:r>
      <w:r w:rsidRPr="004565DD">
        <w:rPr>
          <w:bCs/>
          <w:color w:val="000000"/>
          <w:lang w:val="nl-NL"/>
        </w:rPr>
        <w:t xml:space="preserve">ờng xuyên để </w:t>
      </w:r>
      <w:r>
        <w:rPr>
          <w:bCs/>
          <w:color w:val="000000"/>
          <w:lang w:val="nl-NL"/>
        </w:rPr>
        <w:t xml:space="preserve">chi phí khấu hao tài sản cố định, </w:t>
      </w:r>
      <w:r w:rsidRPr="009121B3">
        <w:rPr>
          <w:bCs/>
          <w:color w:val="000000"/>
          <w:highlight w:val="yellow"/>
          <w:lang w:val="nl-NL"/>
        </w:rPr>
        <w:t>chi phí tiền thuê đất, chi phí thuế thu nhập doanh nghiệp</w:t>
      </w:r>
      <w:r w:rsidRPr="007C4D60">
        <w:rPr>
          <w:bCs/>
          <w:color w:val="000000"/>
          <w:highlight w:val="yellow"/>
          <w:lang w:val="nl-NL"/>
        </w:rPr>
        <w:t xml:space="preserve">, </w:t>
      </w:r>
      <w:r w:rsidR="00873CC9" w:rsidRPr="007C4D60">
        <w:rPr>
          <w:bCs/>
          <w:color w:val="000000"/>
          <w:highlight w:val="yellow"/>
          <w:lang w:val="nl-NL"/>
        </w:rPr>
        <w:t xml:space="preserve">chi </w:t>
      </w:r>
      <w:r w:rsidRPr="007C4D60">
        <w:rPr>
          <w:bCs/>
          <w:color w:val="000000"/>
          <w:highlight w:val="yellow"/>
          <w:lang w:val="nl-NL"/>
        </w:rPr>
        <w:t>tiền ăn,</w:t>
      </w:r>
      <w:r>
        <w:rPr>
          <w:bCs/>
          <w:color w:val="000000"/>
          <w:lang w:val="nl-NL"/>
        </w:rPr>
        <w:t xml:space="preserve"> </w:t>
      </w:r>
      <w:r w:rsidRPr="004565DD">
        <w:rPr>
          <w:bCs/>
          <w:color w:val="000000"/>
          <w:lang w:val="nl-NL"/>
        </w:rPr>
        <w:t>chi thu nhập tăng thêm và trích lập các Quỹ theo c</w:t>
      </w:r>
      <w:r w:rsidRPr="004565DD">
        <w:rPr>
          <w:rFonts w:hint="eastAsia"/>
          <w:bCs/>
          <w:color w:val="000000"/>
          <w:lang w:val="nl-NL"/>
        </w:rPr>
        <w:t>ơ</w:t>
      </w:r>
      <w:r w:rsidRPr="004565DD">
        <w:rPr>
          <w:bCs/>
          <w:color w:val="000000"/>
          <w:lang w:val="nl-NL"/>
        </w:rPr>
        <w:t xml:space="preserve"> chế tự chủ của đ</w:t>
      </w:r>
      <w:r w:rsidRPr="004565DD">
        <w:rPr>
          <w:rFonts w:hint="eastAsia"/>
          <w:bCs/>
          <w:color w:val="000000"/>
          <w:lang w:val="nl-NL"/>
        </w:rPr>
        <w:t>ơ</w:t>
      </w:r>
      <w:r>
        <w:rPr>
          <w:bCs/>
          <w:color w:val="000000"/>
          <w:lang w:val="nl-NL"/>
        </w:rPr>
        <w:t>n vị sự nghiệp công lập.</w:t>
      </w:r>
    </w:p>
    <w:p w:rsidR="004177D1" w:rsidRPr="004177D1" w:rsidRDefault="004177D1" w:rsidP="00322E9F">
      <w:pPr>
        <w:spacing w:after="120"/>
        <w:ind w:firstLine="709"/>
        <w:jc w:val="both"/>
        <w:rPr>
          <w:b/>
        </w:rPr>
      </w:pPr>
      <w:r w:rsidRPr="00AC76D3">
        <w:rPr>
          <w:b/>
          <w:bCs/>
          <w:color w:val="000000"/>
          <w:lang w:val="nl-NL"/>
        </w:rPr>
        <w:t xml:space="preserve">Điều </w:t>
      </w:r>
      <w:r w:rsidR="001D5DA8">
        <w:rPr>
          <w:b/>
          <w:bCs/>
          <w:color w:val="000000"/>
          <w:lang w:val="nl-NL"/>
        </w:rPr>
        <w:t>4</w:t>
      </w:r>
      <w:r w:rsidRPr="00AC76D3">
        <w:rPr>
          <w:b/>
          <w:bCs/>
          <w:color w:val="000000"/>
          <w:lang w:val="nl-NL"/>
        </w:rPr>
        <w:t xml:space="preserve">. </w:t>
      </w:r>
      <w:r>
        <w:rPr>
          <w:b/>
          <w:bCs/>
          <w:color w:val="000000"/>
          <w:lang w:val="nl-NL"/>
        </w:rPr>
        <w:t>S</w:t>
      </w:r>
      <w:r w:rsidRPr="00AC76D3">
        <w:rPr>
          <w:b/>
          <w:bCs/>
          <w:color w:val="000000"/>
          <w:lang w:val="nl-NL"/>
        </w:rPr>
        <w:t xml:space="preserve">ử dụng nguồn Quỹ </w:t>
      </w:r>
      <w:r w:rsidR="001D5DA8">
        <w:rPr>
          <w:b/>
          <w:bCs/>
          <w:color w:val="000000"/>
          <w:lang w:val="nl-NL"/>
        </w:rPr>
        <w:t xml:space="preserve">bổ sung thu nhập </w:t>
      </w:r>
      <w:r>
        <w:rPr>
          <w:b/>
          <w:bCs/>
          <w:color w:val="000000"/>
          <w:lang w:val="nl-NL"/>
        </w:rPr>
        <w:t xml:space="preserve">(Quỹ </w:t>
      </w:r>
      <w:r w:rsidR="001D5DA8" w:rsidRPr="00AC76D3">
        <w:rPr>
          <w:b/>
          <w:bCs/>
          <w:color w:val="000000"/>
          <w:lang w:val="nl-NL"/>
        </w:rPr>
        <w:t>dự phòng ổn định thu nhập</w:t>
      </w:r>
      <w:r>
        <w:rPr>
          <w:b/>
          <w:bCs/>
          <w:color w:val="000000"/>
          <w:lang w:val="nl-NL"/>
        </w:rPr>
        <w:t>)</w:t>
      </w:r>
      <w:r w:rsidRPr="00AC76D3">
        <w:rPr>
          <w:b/>
          <w:bCs/>
          <w:color w:val="000000"/>
          <w:lang w:val="nl-NL"/>
        </w:rPr>
        <w:t>, Quỹ khen th</w:t>
      </w:r>
      <w:r w:rsidRPr="00AC76D3">
        <w:rPr>
          <w:rFonts w:hint="eastAsia"/>
          <w:b/>
          <w:bCs/>
          <w:color w:val="000000"/>
          <w:lang w:val="nl-NL"/>
        </w:rPr>
        <w:t>ư</w:t>
      </w:r>
      <w:r w:rsidRPr="00AC76D3">
        <w:rPr>
          <w:b/>
          <w:bCs/>
          <w:color w:val="000000"/>
          <w:lang w:val="nl-NL"/>
        </w:rPr>
        <w:t xml:space="preserve">ởng, Quỹ phúc lợi, </w:t>
      </w:r>
      <w:r>
        <w:rPr>
          <w:b/>
          <w:bCs/>
          <w:color w:val="000000"/>
          <w:lang w:val="nl-NL"/>
        </w:rPr>
        <w:t>N</w:t>
      </w:r>
      <w:r w:rsidRPr="00AC76D3">
        <w:rPr>
          <w:b/>
          <w:bCs/>
          <w:color w:val="000000"/>
          <w:lang w:val="nl-NL"/>
        </w:rPr>
        <w:t>guồn kinh phí cải cách tiền l</w:t>
      </w:r>
      <w:r w:rsidRPr="00AC76D3">
        <w:rPr>
          <w:rFonts w:hint="eastAsia"/>
          <w:b/>
          <w:bCs/>
          <w:color w:val="000000"/>
          <w:lang w:val="nl-NL"/>
        </w:rPr>
        <w:t>ươ</w:t>
      </w:r>
      <w:r w:rsidRPr="00AC76D3">
        <w:rPr>
          <w:b/>
          <w:bCs/>
          <w:color w:val="000000"/>
          <w:lang w:val="nl-NL"/>
        </w:rPr>
        <w:t>ng ch</w:t>
      </w:r>
      <w:r w:rsidRPr="00AC76D3">
        <w:rPr>
          <w:rFonts w:hint="eastAsia"/>
          <w:b/>
          <w:bCs/>
          <w:color w:val="000000"/>
          <w:lang w:val="nl-NL"/>
        </w:rPr>
        <w:t>ư</w:t>
      </w:r>
      <w:r w:rsidRPr="00AC76D3">
        <w:rPr>
          <w:b/>
          <w:bCs/>
          <w:color w:val="000000"/>
          <w:lang w:val="nl-NL"/>
        </w:rPr>
        <w:t>a sử dụng năm 2020 chuyển sang năm 2021</w:t>
      </w:r>
      <w:r w:rsidRPr="00AF166E">
        <w:rPr>
          <w:b/>
          <w:bCs/>
          <w:color w:val="000000"/>
          <w:lang w:val="nl-NL"/>
        </w:rPr>
        <w:t xml:space="preserve"> </w:t>
      </w:r>
      <w:r w:rsidR="00AF166E" w:rsidRPr="00AF166E">
        <w:rPr>
          <w:b/>
        </w:rPr>
        <w:t>và nguồn tài chính chi thường xuyên để chi trả chi phí tiền lương</w:t>
      </w:r>
      <w:r w:rsidR="00AF166E" w:rsidRPr="00AC76D3">
        <w:rPr>
          <w:b/>
          <w:bCs/>
          <w:color w:val="000000"/>
          <w:lang w:val="nl-NL"/>
        </w:rPr>
        <w:t xml:space="preserve"> </w:t>
      </w:r>
    </w:p>
    <w:p w:rsidR="001D5DA8" w:rsidRDefault="001D5DA8" w:rsidP="001D5DA8">
      <w:pPr>
        <w:shd w:val="clear" w:color="auto" w:fill="FFFFFF"/>
        <w:spacing w:after="120" w:line="264" w:lineRule="auto"/>
        <w:ind w:firstLine="680"/>
        <w:jc w:val="both"/>
        <w:rPr>
          <w:bCs/>
          <w:color w:val="000000"/>
          <w:lang w:val="nl-NL"/>
        </w:rPr>
      </w:pPr>
      <w:r>
        <w:rPr>
          <w:bCs/>
          <w:color w:val="000000"/>
          <w:lang w:val="nl-NL"/>
        </w:rPr>
        <w:t xml:space="preserve">Các đối tượng quy định tại Điều 2 Nghị quyết chủ động sử dụng các nguồn tài chính theo thứ tự ưu tiên sau đây để </w:t>
      </w:r>
      <w:r w:rsidRPr="00C85A85">
        <w:rPr>
          <w:bCs/>
          <w:color w:val="000000"/>
          <w:lang w:val="nl-NL"/>
        </w:rPr>
        <w:t>bảo đảm tiền l</w:t>
      </w:r>
      <w:r w:rsidRPr="00C85A85">
        <w:rPr>
          <w:rFonts w:hint="eastAsia"/>
          <w:bCs/>
          <w:color w:val="000000"/>
          <w:lang w:val="nl-NL"/>
        </w:rPr>
        <w:t>ươ</w:t>
      </w:r>
      <w:r w:rsidRPr="00C85A85">
        <w:rPr>
          <w:bCs/>
          <w:color w:val="000000"/>
          <w:lang w:val="nl-NL"/>
        </w:rPr>
        <w:t>ng theo ngạch, bậc, chức vụ, phụ cấp l</w:t>
      </w:r>
      <w:r w:rsidRPr="00C85A85">
        <w:rPr>
          <w:rFonts w:hint="eastAsia"/>
          <w:bCs/>
          <w:color w:val="000000"/>
          <w:lang w:val="nl-NL"/>
        </w:rPr>
        <w:t>ươ</w:t>
      </w:r>
      <w:r w:rsidRPr="00C85A85">
        <w:rPr>
          <w:bCs/>
          <w:color w:val="000000"/>
          <w:lang w:val="nl-NL"/>
        </w:rPr>
        <w:t xml:space="preserve">ng theo chế độ quy định và các khoản đóng góp theo chế độ </w:t>
      </w:r>
      <w:r>
        <w:rPr>
          <w:bCs/>
          <w:color w:val="000000"/>
          <w:lang w:val="nl-NL"/>
        </w:rPr>
        <w:t xml:space="preserve">(bảo hiểm xã hội, bảo hiểm y tế, bảo hiểm thất nghiệp, kinh phí công đoàn) </w:t>
      </w:r>
      <w:r w:rsidRPr="00C85A85">
        <w:rPr>
          <w:bCs/>
          <w:color w:val="000000"/>
          <w:lang w:val="nl-NL"/>
        </w:rPr>
        <w:t>năm 2021</w:t>
      </w:r>
      <w:r>
        <w:rPr>
          <w:bCs/>
          <w:color w:val="000000"/>
          <w:lang w:val="nl-NL"/>
        </w:rPr>
        <w:t xml:space="preserve">: </w:t>
      </w:r>
    </w:p>
    <w:p w:rsidR="001D5DA8" w:rsidRDefault="001D5DA8" w:rsidP="001D5DA8">
      <w:pPr>
        <w:shd w:val="clear" w:color="auto" w:fill="FFFFFF"/>
        <w:spacing w:after="120" w:line="264" w:lineRule="auto"/>
        <w:ind w:firstLine="680"/>
        <w:jc w:val="both"/>
        <w:rPr>
          <w:bCs/>
          <w:color w:val="000000"/>
          <w:lang w:val="nl-NL"/>
        </w:rPr>
      </w:pPr>
      <w:r>
        <w:t xml:space="preserve">1. </w:t>
      </w:r>
      <w:r w:rsidRPr="00C85A85">
        <w:rPr>
          <w:bCs/>
          <w:color w:val="000000"/>
          <w:lang w:val="nl-NL"/>
        </w:rPr>
        <w:t>Quỹ</w:t>
      </w:r>
      <w:r w:rsidR="007C4D60" w:rsidRPr="007C4D60">
        <w:rPr>
          <w:bCs/>
          <w:color w:val="000000"/>
          <w:lang w:val="nl-NL"/>
        </w:rPr>
        <w:t xml:space="preserve"> </w:t>
      </w:r>
      <w:r w:rsidR="007C4D60">
        <w:rPr>
          <w:bCs/>
          <w:color w:val="000000"/>
          <w:lang w:val="nl-NL"/>
        </w:rPr>
        <w:t>bổ sung thu nhập</w:t>
      </w:r>
      <w:r w:rsidRPr="00C85A85">
        <w:rPr>
          <w:bCs/>
          <w:color w:val="000000"/>
          <w:lang w:val="nl-NL"/>
        </w:rPr>
        <w:t xml:space="preserve"> </w:t>
      </w:r>
      <w:r>
        <w:rPr>
          <w:bCs/>
          <w:color w:val="000000"/>
          <w:lang w:val="nl-NL"/>
        </w:rPr>
        <w:t>(Quỹ</w:t>
      </w:r>
      <w:r w:rsidR="007C4D60" w:rsidRPr="007C4D60">
        <w:rPr>
          <w:bCs/>
          <w:color w:val="000000"/>
          <w:lang w:val="nl-NL"/>
        </w:rPr>
        <w:t xml:space="preserve"> </w:t>
      </w:r>
      <w:r w:rsidR="007C4D60" w:rsidRPr="00C85A85">
        <w:rPr>
          <w:bCs/>
          <w:color w:val="000000"/>
          <w:lang w:val="nl-NL"/>
        </w:rPr>
        <w:t>dự phòng ổn định thu nhập</w:t>
      </w:r>
      <w:r>
        <w:rPr>
          <w:bCs/>
          <w:color w:val="000000"/>
          <w:lang w:val="nl-NL"/>
        </w:rPr>
        <w:t>)</w:t>
      </w:r>
      <w:r w:rsidRPr="00C85A85">
        <w:rPr>
          <w:bCs/>
          <w:color w:val="000000"/>
          <w:lang w:val="nl-NL"/>
        </w:rPr>
        <w:t>, Quỹ khen th</w:t>
      </w:r>
      <w:r w:rsidRPr="00C85A85">
        <w:rPr>
          <w:rFonts w:hint="eastAsia"/>
          <w:bCs/>
          <w:color w:val="000000"/>
          <w:lang w:val="nl-NL"/>
        </w:rPr>
        <w:t>ư</w:t>
      </w:r>
      <w:r w:rsidRPr="00C85A85">
        <w:rPr>
          <w:bCs/>
          <w:color w:val="000000"/>
          <w:lang w:val="nl-NL"/>
        </w:rPr>
        <w:t>ởng, Quỹ phúc lợi, Nguồn kinh phí cải cách tiền l</w:t>
      </w:r>
      <w:r w:rsidRPr="00C85A85">
        <w:rPr>
          <w:rFonts w:hint="eastAsia"/>
          <w:bCs/>
          <w:color w:val="000000"/>
          <w:lang w:val="nl-NL"/>
        </w:rPr>
        <w:t>ươ</w:t>
      </w:r>
      <w:r w:rsidRPr="00C85A85">
        <w:rPr>
          <w:bCs/>
          <w:color w:val="000000"/>
          <w:lang w:val="nl-NL"/>
        </w:rPr>
        <w:t>ng ch</w:t>
      </w:r>
      <w:r w:rsidRPr="00C85A85">
        <w:rPr>
          <w:rFonts w:hint="eastAsia"/>
          <w:bCs/>
          <w:color w:val="000000"/>
          <w:lang w:val="nl-NL"/>
        </w:rPr>
        <w:t>ư</w:t>
      </w:r>
      <w:r w:rsidRPr="00C85A85">
        <w:rPr>
          <w:bCs/>
          <w:color w:val="000000"/>
          <w:lang w:val="nl-NL"/>
        </w:rPr>
        <w:t>a sử dụng năm 2020 chuyển sang năm 2021 của đơn vị</w:t>
      </w:r>
      <w:r w:rsidR="00CE0160">
        <w:rPr>
          <w:bCs/>
          <w:color w:val="000000"/>
          <w:lang w:val="nl-NL"/>
        </w:rPr>
        <w:t>;</w:t>
      </w:r>
    </w:p>
    <w:p w:rsidR="001D5DA8" w:rsidRDefault="001D5DA8" w:rsidP="001D5DA8">
      <w:pPr>
        <w:shd w:val="clear" w:color="auto" w:fill="FFFFFF"/>
        <w:spacing w:after="120" w:line="264" w:lineRule="auto"/>
        <w:ind w:firstLine="680"/>
        <w:jc w:val="both"/>
        <w:rPr>
          <w:bCs/>
          <w:color w:val="000000"/>
          <w:lang w:val="nl-NL"/>
        </w:rPr>
      </w:pPr>
      <w:r>
        <w:t>2. Nguồn tài chính chi thường xuyên theo quy định tại Điều 11 và Điều 15 Nghị định số 60/2021/NĐ-CP</w:t>
      </w:r>
      <w:r w:rsidR="00CE0160">
        <w:t>.</w:t>
      </w:r>
    </w:p>
    <w:p w:rsidR="004177D1" w:rsidRDefault="009B2EE2" w:rsidP="00322E9F">
      <w:pPr>
        <w:spacing w:after="120"/>
        <w:ind w:firstLine="709"/>
        <w:jc w:val="both"/>
        <w:rPr>
          <w:b/>
          <w:bCs/>
          <w:color w:val="000000"/>
          <w:lang w:val="nl-NL"/>
        </w:rPr>
      </w:pPr>
      <w:r>
        <w:rPr>
          <w:b/>
          <w:bCs/>
          <w:color w:val="000000"/>
          <w:lang w:val="nl-NL"/>
        </w:rPr>
        <w:t>Điều 5</w:t>
      </w:r>
      <w:r w:rsidR="004177D1" w:rsidRPr="007A0F8B">
        <w:rPr>
          <w:b/>
          <w:bCs/>
          <w:color w:val="000000"/>
          <w:lang w:val="nl-NL"/>
        </w:rPr>
        <w:t xml:space="preserve">. Ngân sách nhà nước </w:t>
      </w:r>
      <w:r w:rsidR="004177D1">
        <w:rPr>
          <w:b/>
          <w:bCs/>
          <w:color w:val="000000"/>
          <w:lang w:val="nl-NL"/>
        </w:rPr>
        <w:t>hỗ trợ một phần chi phí hoạt động thường xuyên của đơn vị</w:t>
      </w:r>
    </w:p>
    <w:p w:rsidR="009B2EE2" w:rsidRDefault="009B2EE2" w:rsidP="009B2EE2">
      <w:pPr>
        <w:shd w:val="clear" w:color="auto" w:fill="FFFFFF"/>
        <w:spacing w:after="120" w:line="264" w:lineRule="auto"/>
        <w:ind w:firstLine="680"/>
        <w:jc w:val="both"/>
        <w:rPr>
          <w:bCs/>
          <w:color w:val="000000"/>
          <w:lang w:val="nl-NL"/>
        </w:rPr>
      </w:pPr>
      <w:r>
        <w:rPr>
          <w:bCs/>
          <w:color w:val="000000"/>
          <w:lang w:val="nl-NL"/>
        </w:rPr>
        <w:t xml:space="preserve">1. Hỗ trợ phần chi phí tiền lương không bảo đảm được </w:t>
      </w:r>
      <w:r w:rsidR="007C4D60">
        <w:rPr>
          <w:bCs/>
          <w:color w:val="000000"/>
          <w:lang w:val="nl-NL"/>
        </w:rPr>
        <w:t>theo</w:t>
      </w:r>
      <w:r>
        <w:rPr>
          <w:bCs/>
          <w:color w:val="000000"/>
          <w:lang w:val="nl-NL"/>
        </w:rPr>
        <w:t xml:space="preserve"> Điều 4 Nghị quyết cho đối tượng quy định tại khoản 2 Điều 2 Nghị quyết.</w:t>
      </w:r>
    </w:p>
    <w:p w:rsidR="004177D1" w:rsidRDefault="009B2EE2" w:rsidP="009B2EE2">
      <w:pPr>
        <w:spacing w:after="120"/>
        <w:ind w:firstLine="709"/>
        <w:jc w:val="both"/>
        <w:rPr>
          <w:bCs/>
          <w:color w:val="000000"/>
          <w:lang w:val="nl-NL"/>
        </w:rPr>
      </w:pPr>
      <w:r>
        <w:rPr>
          <w:bCs/>
          <w:color w:val="000000"/>
          <w:lang w:val="nl-NL"/>
        </w:rPr>
        <w:t xml:space="preserve">2. Hỗ trợ phần chi phí </w:t>
      </w:r>
      <w:r w:rsidRPr="002C79AE">
        <w:rPr>
          <w:bCs/>
          <w:color w:val="000000"/>
          <w:lang w:val="nl-NL"/>
        </w:rPr>
        <w:t>hoạt động th</w:t>
      </w:r>
      <w:r w:rsidRPr="002C79AE">
        <w:rPr>
          <w:rFonts w:hint="eastAsia"/>
          <w:bCs/>
          <w:color w:val="000000"/>
          <w:lang w:val="nl-NL"/>
        </w:rPr>
        <w:t>ư</w:t>
      </w:r>
      <w:r w:rsidRPr="002C79AE">
        <w:rPr>
          <w:bCs/>
          <w:color w:val="000000"/>
          <w:lang w:val="nl-NL"/>
        </w:rPr>
        <w:t>ờng xuyên ngoài l</w:t>
      </w:r>
      <w:r w:rsidRPr="002C79AE">
        <w:rPr>
          <w:rFonts w:hint="eastAsia"/>
          <w:bCs/>
          <w:color w:val="000000"/>
          <w:lang w:val="nl-NL"/>
        </w:rPr>
        <w:t>ươ</w:t>
      </w:r>
      <w:r w:rsidRPr="002C79AE">
        <w:rPr>
          <w:bCs/>
          <w:color w:val="000000"/>
          <w:lang w:val="nl-NL"/>
        </w:rPr>
        <w:t>ng</w:t>
      </w:r>
      <w:r>
        <w:rPr>
          <w:bCs/>
          <w:color w:val="000000"/>
          <w:lang w:val="nl-NL"/>
        </w:rPr>
        <w:t xml:space="preserve"> không bảo đảm được từ nguồn tài chính chi thường xuyên cho đối tượng quy định tại khoản 1, 2, 3, 5 Điều 2 Nghị quyết này.</w:t>
      </w:r>
    </w:p>
    <w:p w:rsidR="004177D1" w:rsidRDefault="004177D1" w:rsidP="00322E9F">
      <w:pPr>
        <w:spacing w:after="120"/>
        <w:ind w:firstLine="709"/>
        <w:jc w:val="both"/>
        <w:rPr>
          <w:spacing w:val="-2"/>
          <w:position w:val="2"/>
        </w:rPr>
      </w:pPr>
      <w:r w:rsidRPr="008511EB">
        <w:rPr>
          <w:spacing w:val="-2"/>
          <w:position w:val="2"/>
        </w:rPr>
        <w:t>Trên đây là Tờ trình về dự thảo</w:t>
      </w:r>
      <w:r>
        <w:rPr>
          <w:spacing w:val="-2"/>
          <w:position w:val="2"/>
        </w:rPr>
        <w:t xml:space="preserve"> </w:t>
      </w:r>
      <w:r w:rsidR="0029365C" w:rsidRPr="0029365C">
        <w:rPr>
          <w:spacing w:val="-2"/>
          <w:position w:val="2"/>
        </w:rPr>
        <w:t xml:space="preserve">Nghị quyết quy định chính sách hỗ trợ kinh phí cho một số đơn vị sự nghiệp công lập thu không đủ chi năm 2021 do tác động </w:t>
      </w:r>
      <w:r w:rsidR="0029365C" w:rsidRPr="0029365C">
        <w:rPr>
          <w:spacing w:val="-2"/>
          <w:position w:val="2"/>
        </w:rPr>
        <w:lastRenderedPageBreak/>
        <w:t>của dịch COVID-19 trên địa bàn tỉnh Đồng Nai</w:t>
      </w:r>
      <w:r w:rsidR="0029365C">
        <w:rPr>
          <w:spacing w:val="-2"/>
          <w:position w:val="2"/>
        </w:rPr>
        <w:t>, UBND tỉnh kính trình HĐND tỉnh xem xét, quyết định./.</w:t>
      </w:r>
    </w:p>
    <w:p w:rsidR="0029365C" w:rsidRDefault="00351EE8" w:rsidP="00322E9F">
      <w:pPr>
        <w:spacing w:after="120"/>
        <w:ind w:firstLine="709"/>
        <w:jc w:val="both"/>
        <w:rPr>
          <w:i/>
          <w:position w:val="2"/>
        </w:rPr>
      </w:pPr>
      <w:r>
        <w:rPr>
          <w:i/>
          <w:position w:val="2"/>
        </w:rPr>
        <w:t>(Đính kèm:</w:t>
      </w:r>
    </w:p>
    <w:p w:rsidR="00351EE8" w:rsidRDefault="00351EE8" w:rsidP="00322E9F">
      <w:pPr>
        <w:spacing w:after="120"/>
        <w:ind w:firstLine="709"/>
        <w:jc w:val="both"/>
        <w:rPr>
          <w:i/>
          <w:position w:val="2"/>
        </w:rPr>
      </w:pPr>
      <w:r>
        <w:rPr>
          <w:i/>
          <w:position w:val="2"/>
        </w:rPr>
        <w:t>- Phụ lục I: Báo cáo</w:t>
      </w:r>
      <w:r w:rsidRPr="00351EE8">
        <w:rPr>
          <w:i/>
          <w:position w:val="2"/>
        </w:rPr>
        <w:t xml:space="preserve"> số thu - chi các đơn vị sự nghiệp công lập thu không đủ bù chi năm 2021 so với các năm trước</w:t>
      </w:r>
      <w:r>
        <w:rPr>
          <w:i/>
          <w:position w:val="2"/>
        </w:rPr>
        <w:t>.</w:t>
      </w:r>
    </w:p>
    <w:p w:rsidR="00351EE8" w:rsidRDefault="00351EE8" w:rsidP="00322E9F">
      <w:pPr>
        <w:spacing w:after="120"/>
        <w:ind w:firstLine="709"/>
        <w:jc w:val="both"/>
        <w:rPr>
          <w:i/>
          <w:position w:val="2"/>
        </w:rPr>
      </w:pPr>
      <w:r>
        <w:rPr>
          <w:i/>
          <w:position w:val="2"/>
        </w:rPr>
        <w:t>- Phụ lục II:</w:t>
      </w:r>
      <w:r w:rsidRPr="00351EE8">
        <w:t xml:space="preserve"> </w:t>
      </w:r>
      <w:r w:rsidRPr="00351EE8">
        <w:rPr>
          <w:i/>
          <w:position w:val="2"/>
        </w:rPr>
        <w:t>Chi tiết nội dung chi thường xuyên năm 2021 theo tiểu mục chi</w:t>
      </w:r>
      <w:r>
        <w:rPr>
          <w:i/>
          <w:position w:val="2"/>
        </w:rPr>
        <w:t>.</w:t>
      </w:r>
    </w:p>
    <w:p w:rsidR="00351EE8" w:rsidRDefault="00351EE8" w:rsidP="00322E9F">
      <w:pPr>
        <w:spacing w:after="120"/>
        <w:ind w:firstLine="709"/>
        <w:jc w:val="both"/>
        <w:rPr>
          <w:i/>
          <w:position w:val="2"/>
        </w:rPr>
      </w:pPr>
      <w:r>
        <w:rPr>
          <w:i/>
          <w:position w:val="2"/>
        </w:rPr>
        <w:t>- Phụ lục III:</w:t>
      </w:r>
      <w:r w:rsidRPr="00351EE8">
        <w:t xml:space="preserve"> </w:t>
      </w:r>
      <w:r w:rsidRPr="00351EE8">
        <w:rPr>
          <w:i/>
          <w:position w:val="2"/>
        </w:rPr>
        <w:t>Kinh phí hỗ trợ chi thường xuyên đơn vị sự nghiệp công lập thu không đủ chi năm 2021 do tác động của dịch covid-19 trên địa bàn tỉnh Đồng Nai</w:t>
      </w:r>
      <w:r>
        <w:rPr>
          <w:i/>
          <w:position w:val="2"/>
        </w:rPr>
        <w:t>.</w:t>
      </w:r>
      <w:bookmarkStart w:id="0" w:name="_GoBack"/>
      <w:bookmarkEnd w:id="0"/>
    </w:p>
    <w:p w:rsidR="0029365C" w:rsidRDefault="0029365C" w:rsidP="00322E9F">
      <w:pPr>
        <w:spacing w:after="120"/>
        <w:ind w:firstLine="709"/>
        <w:jc w:val="both"/>
        <w:rPr>
          <w:bCs/>
          <w:color w:val="000000"/>
          <w:lang w:val="nl-NL"/>
        </w:rPr>
      </w:pPr>
      <w:r w:rsidRPr="00FC4535">
        <w:rPr>
          <w:i/>
          <w:position w:val="2"/>
        </w:rPr>
        <w:t>- Dự thảo Nghị quyết</w:t>
      </w:r>
      <w:r>
        <w:rPr>
          <w:i/>
          <w:position w:val="2"/>
        </w:rPr>
        <w:t xml:space="preserve"> </w:t>
      </w:r>
      <w:r w:rsidRPr="0029365C">
        <w:rPr>
          <w:i/>
          <w:position w:val="2"/>
        </w:rPr>
        <w:t>quy định chính sách hỗ trợ kinh phí cho một số đơn vị sự nghiệp công lập thu không đủ chi năm 2021 do tác động của dịch COVID-19 trên địa bàn tỉnh Đồng Nai</w:t>
      </w:r>
      <w:r>
        <w:rPr>
          <w:i/>
          <w:position w:val="2"/>
        </w:rPr>
        <w:t>.)</w:t>
      </w:r>
    </w:p>
    <w:p w:rsidR="009873F0" w:rsidRPr="00CC7FC0" w:rsidRDefault="009873F0" w:rsidP="006B2AA0">
      <w:pPr>
        <w:spacing w:before="120" w:after="120"/>
        <w:ind w:firstLine="709"/>
        <w:jc w:val="both"/>
        <w:rPr>
          <w:sz w:val="8"/>
          <w:szCs w:val="8"/>
        </w:rPr>
      </w:pPr>
    </w:p>
    <w:tbl>
      <w:tblPr>
        <w:tblW w:w="9540" w:type="dxa"/>
        <w:tblInd w:w="108" w:type="dxa"/>
        <w:tblLook w:val="01E0" w:firstRow="1" w:lastRow="1" w:firstColumn="1" w:lastColumn="1" w:noHBand="0" w:noVBand="0"/>
      </w:tblPr>
      <w:tblGrid>
        <w:gridCol w:w="4678"/>
        <w:gridCol w:w="4862"/>
      </w:tblGrid>
      <w:tr w:rsidR="00C76C28" w:rsidRPr="00CC7FC0" w:rsidTr="00895467">
        <w:trPr>
          <w:trHeight w:val="2149"/>
        </w:trPr>
        <w:tc>
          <w:tcPr>
            <w:tcW w:w="4678" w:type="dxa"/>
          </w:tcPr>
          <w:p w:rsidR="00C76C28" w:rsidRPr="00CC7FC0" w:rsidRDefault="00C76C28" w:rsidP="006B2AA0">
            <w:pPr>
              <w:rPr>
                <w:b/>
                <w:noProof/>
                <w:sz w:val="24"/>
                <w:szCs w:val="24"/>
                <w:lang w:val="vi-VN"/>
              </w:rPr>
            </w:pPr>
            <w:r w:rsidRPr="00CC7FC0">
              <w:rPr>
                <w:b/>
                <w:i/>
                <w:noProof/>
                <w:sz w:val="24"/>
                <w:szCs w:val="24"/>
                <w:lang w:val="vi-VN"/>
              </w:rPr>
              <w:t>Nơi nhận:</w:t>
            </w:r>
          </w:p>
          <w:p w:rsidR="00FC13FB" w:rsidRPr="008511EB" w:rsidRDefault="00FC13FB" w:rsidP="00FC13FB">
            <w:pPr>
              <w:rPr>
                <w:sz w:val="22"/>
                <w:szCs w:val="26"/>
              </w:rPr>
            </w:pPr>
            <w:r w:rsidRPr="008511EB">
              <w:rPr>
                <w:sz w:val="22"/>
                <w:szCs w:val="26"/>
              </w:rPr>
              <w:t>- Thường trực Tỉnh ủy;</w:t>
            </w:r>
          </w:p>
          <w:p w:rsidR="00FC13FB" w:rsidRPr="008511EB" w:rsidRDefault="00FC13FB" w:rsidP="00FC13FB">
            <w:pPr>
              <w:rPr>
                <w:sz w:val="22"/>
                <w:szCs w:val="26"/>
              </w:rPr>
            </w:pPr>
            <w:r w:rsidRPr="008511EB">
              <w:rPr>
                <w:sz w:val="22"/>
                <w:szCs w:val="26"/>
              </w:rPr>
              <w:t>- Thường trựcHĐND tỉnh;</w:t>
            </w:r>
          </w:p>
          <w:p w:rsidR="00FC13FB" w:rsidRPr="008511EB" w:rsidRDefault="00FC13FB" w:rsidP="00FC13FB">
            <w:pPr>
              <w:rPr>
                <w:sz w:val="22"/>
                <w:szCs w:val="26"/>
              </w:rPr>
            </w:pPr>
            <w:r w:rsidRPr="008511EB">
              <w:rPr>
                <w:sz w:val="22"/>
                <w:szCs w:val="26"/>
              </w:rPr>
              <w:t>- CT, các PCT UBND tỉnh;</w:t>
            </w:r>
          </w:p>
          <w:p w:rsidR="00FC13FB" w:rsidRPr="008511EB" w:rsidRDefault="00FC13FB" w:rsidP="00FC13FB">
            <w:pPr>
              <w:rPr>
                <w:sz w:val="22"/>
                <w:szCs w:val="26"/>
              </w:rPr>
            </w:pPr>
            <w:r w:rsidRPr="008511EB">
              <w:rPr>
                <w:sz w:val="22"/>
                <w:szCs w:val="26"/>
              </w:rPr>
              <w:t>- Đại biểu HĐND tỉnh;</w:t>
            </w:r>
          </w:p>
          <w:p w:rsidR="00FC13FB" w:rsidRPr="008511EB" w:rsidRDefault="00FC13FB" w:rsidP="00FC13FB">
            <w:pPr>
              <w:rPr>
                <w:sz w:val="22"/>
                <w:szCs w:val="26"/>
              </w:rPr>
            </w:pPr>
            <w:r w:rsidRPr="008511EB">
              <w:rPr>
                <w:sz w:val="22"/>
                <w:szCs w:val="26"/>
              </w:rPr>
              <w:t>- Văn phòng Tỉnh ủy;</w:t>
            </w:r>
          </w:p>
          <w:p w:rsidR="00FC13FB" w:rsidRPr="008511EB" w:rsidRDefault="00FC13FB" w:rsidP="00FC13FB">
            <w:pPr>
              <w:rPr>
                <w:sz w:val="22"/>
                <w:szCs w:val="26"/>
              </w:rPr>
            </w:pPr>
            <w:r w:rsidRPr="008511EB">
              <w:rPr>
                <w:sz w:val="22"/>
                <w:szCs w:val="26"/>
              </w:rPr>
              <w:t>- Văn phòng HĐND tỉnh;</w:t>
            </w:r>
          </w:p>
          <w:p w:rsidR="00FC13FB" w:rsidRPr="008511EB" w:rsidRDefault="00FC13FB" w:rsidP="00FC13FB">
            <w:pPr>
              <w:rPr>
                <w:sz w:val="22"/>
                <w:szCs w:val="26"/>
              </w:rPr>
            </w:pPr>
            <w:r w:rsidRPr="008511EB">
              <w:rPr>
                <w:sz w:val="22"/>
                <w:szCs w:val="26"/>
              </w:rPr>
              <w:t>- Ban KT-NS HĐND tỉnh;</w:t>
            </w:r>
          </w:p>
          <w:p w:rsidR="00FC13FB" w:rsidRPr="008511EB" w:rsidRDefault="00FC13FB" w:rsidP="00FC13FB">
            <w:pPr>
              <w:rPr>
                <w:sz w:val="22"/>
                <w:szCs w:val="26"/>
              </w:rPr>
            </w:pPr>
            <w:r w:rsidRPr="008511EB">
              <w:rPr>
                <w:sz w:val="22"/>
                <w:szCs w:val="26"/>
              </w:rPr>
              <w:t>- Chánh, phó Văn phòng UBND tỉnh;</w:t>
            </w:r>
          </w:p>
          <w:p w:rsidR="00FC13FB" w:rsidRPr="008511EB" w:rsidRDefault="00FC13FB" w:rsidP="00FC13FB">
            <w:pPr>
              <w:rPr>
                <w:sz w:val="22"/>
                <w:szCs w:val="22"/>
              </w:rPr>
            </w:pPr>
            <w:r w:rsidRPr="008511EB">
              <w:rPr>
                <w:sz w:val="22"/>
                <w:szCs w:val="22"/>
              </w:rPr>
              <w:t>- Sở Lao động - Thương binh và Xã hội;</w:t>
            </w:r>
          </w:p>
          <w:p w:rsidR="00FC13FB" w:rsidRPr="008511EB" w:rsidRDefault="00FC13FB" w:rsidP="00FC13FB">
            <w:pPr>
              <w:rPr>
                <w:sz w:val="22"/>
                <w:szCs w:val="22"/>
              </w:rPr>
            </w:pPr>
            <w:r w:rsidRPr="008511EB">
              <w:rPr>
                <w:sz w:val="22"/>
                <w:szCs w:val="22"/>
              </w:rPr>
              <w:t>- Ban Quản lý các KCN;</w:t>
            </w:r>
          </w:p>
          <w:p w:rsidR="00FC13FB" w:rsidRPr="008511EB" w:rsidRDefault="00FC13FB" w:rsidP="00FC13FB">
            <w:pPr>
              <w:rPr>
                <w:sz w:val="22"/>
                <w:szCs w:val="22"/>
              </w:rPr>
            </w:pPr>
            <w:r w:rsidRPr="008511EB">
              <w:rPr>
                <w:sz w:val="22"/>
                <w:szCs w:val="22"/>
              </w:rPr>
              <w:t xml:space="preserve">- Các Sở: Tài chính, Tư Pháp; </w:t>
            </w:r>
          </w:p>
          <w:p w:rsidR="00FC13FB" w:rsidRPr="008511EB" w:rsidRDefault="00FC13FB" w:rsidP="00FC13FB">
            <w:pPr>
              <w:rPr>
                <w:sz w:val="22"/>
                <w:szCs w:val="22"/>
              </w:rPr>
            </w:pPr>
            <w:r w:rsidRPr="008511EB">
              <w:rPr>
                <w:sz w:val="22"/>
                <w:szCs w:val="22"/>
              </w:rPr>
              <w:t>- Chánh, phó Chánh Văn phòng UBND tỉnh;</w:t>
            </w:r>
          </w:p>
          <w:p w:rsidR="00C76C28" w:rsidRPr="00CC7FC0" w:rsidRDefault="00FC13FB" w:rsidP="00FC13FB">
            <w:pPr>
              <w:ind w:left="72" w:hanging="72"/>
              <w:rPr>
                <w:noProof/>
                <w:lang w:val="vi-VN"/>
              </w:rPr>
            </w:pPr>
            <w:r w:rsidRPr="008511EB">
              <w:rPr>
                <w:sz w:val="22"/>
                <w:szCs w:val="22"/>
              </w:rPr>
              <w:t>- Lưu: VT, TH,KT</w:t>
            </w:r>
            <w:r w:rsidR="00C76C28" w:rsidRPr="00CC7FC0">
              <w:rPr>
                <w:noProof/>
                <w:sz w:val="22"/>
                <w:szCs w:val="22"/>
                <w:lang w:val="vi-VN"/>
              </w:rPr>
              <w:t>.</w:t>
            </w:r>
          </w:p>
        </w:tc>
        <w:tc>
          <w:tcPr>
            <w:tcW w:w="4862" w:type="dxa"/>
          </w:tcPr>
          <w:p w:rsidR="00347FB2" w:rsidRDefault="00347FB2" w:rsidP="006B2AA0">
            <w:pPr>
              <w:jc w:val="center"/>
              <w:rPr>
                <w:b/>
                <w:noProof/>
              </w:rPr>
            </w:pPr>
            <w:r>
              <w:rPr>
                <w:b/>
                <w:noProof/>
              </w:rPr>
              <w:t>TM. ỦY BAN NHÂN DÂN</w:t>
            </w:r>
          </w:p>
          <w:p w:rsidR="00C76C28" w:rsidRPr="00CC7FC0" w:rsidRDefault="009873F0" w:rsidP="006B2AA0">
            <w:pPr>
              <w:jc w:val="center"/>
              <w:rPr>
                <w:b/>
                <w:noProof/>
              </w:rPr>
            </w:pPr>
            <w:r w:rsidRPr="00CC7FC0">
              <w:rPr>
                <w:b/>
                <w:noProof/>
              </w:rPr>
              <w:t>CHỦ TỊCH</w:t>
            </w:r>
          </w:p>
          <w:p w:rsidR="00C76C28" w:rsidRPr="00CC7FC0" w:rsidRDefault="00C76C28" w:rsidP="006B2AA0">
            <w:pPr>
              <w:jc w:val="center"/>
              <w:rPr>
                <w:b/>
                <w:noProof/>
                <w:lang w:val="vi-VN"/>
              </w:rPr>
            </w:pPr>
          </w:p>
          <w:p w:rsidR="00C76C28" w:rsidRPr="00CC7FC0" w:rsidRDefault="00C76C28" w:rsidP="006B2AA0">
            <w:pPr>
              <w:jc w:val="center"/>
              <w:rPr>
                <w:b/>
                <w:i/>
                <w:noProof/>
                <w:lang w:val="vi-VN"/>
              </w:rPr>
            </w:pPr>
          </w:p>
          <w:p w:rsidR="00C76C28" w:rsidRPr="00CC7FC0" w:rsidRDefault="00C76C28" w:rsidP="006B2AA0">
            <w:pPr>
              <w:jc w:val="center"/>
              <w:rPr>
                <w:b/>
                <w:i/>
                <w:noProof/>
              </w:rPr>
            </w:pPr>
          </w:p>
          <w:p w:rsidR="00C76C28" w:rsidRPr="00CC7FC0" w:rsidRDefault="00C76C28" w:rsidP="006B2AA0">
            <w:pPr>
              <w:jc w:val="center"/>
              <w:rPr>
                <w:b/>
                <w:i/>
                <w:noProof/>
              </w:rPr>
            </w:pPr>
          </w:p>
          <w:p w:rsidR="00C76C28" w:rsidRPr="00CC7FC0" w:rsidRDefault="00C76C28" w:rsidP="006B2AA0">
            <w:pPr>
              <w:jc w:val="center"/>
              <w:rPr>
                <w:b/>
                <w:i/>
                <w:noProof/>
                <w:lang w:val="vi-VN"/>
              </w:rPr>
            </w:pPr>
          </w:p>
          <w:p w:rsidR="00C76C28" w:rsidRPr="00CC7FC0" w:rsidRDefault="009873F0" w:rsidP="006B2AA0">
            <w:pPr>
              <w:jc w:val="center"/>
              <w:rPr>
                <w:b/>
                <w:noProof/>
              </w:rPr>
            </w:pPr>
            <w:r w:rsidRPr="00CC7FC0">
              <w:rPr>
                <w:b/>
                <w:noProof/>
              </w:rPr>
              <w:t>Cao Tiến Dũng</w:t>
            </w:r>
          </w:p>
        </w:tc>
      </w:tr>
    </w:tbl>
    <w:p w:rsidR="00895467" w:rsidRPr="00CC7FC0" w:rsidRDefault="00895467" w:rsidP="006B2AA0"/>
    <w:p w:rsidR="00CC3C32" w:rsidRDefault="00CC3C32">
      <w:pPr>
        <w:spacing w:after="200" w:line="276" w:lineRule="auto"/>
      </w:pPr>
    </w:p>
    <w:p w:rsidR="00CC3C32" w:rsidRDefault="00CC3C32" w:rsidP="00DF6FA0">
      <w:pPr>
        <w:spacing w:after="200" w:line="276" w:lineRule="auto"/>
        <w:rPr>
          <w:shd w:val="clear" w:color="auto" w:fill="FFFFFF"/>
        </w:rPr>
      </w:pPr>
    </w:p>
    <w:sectPr w:rsidR="00CC3C32" w:rsidSect="0012363E">
      <w:headerReference w:type="default" r:id="rId8"/>
      <w:headerReference w:type="first" r:id="rId9"/>
      <w:pgSz w:w="11907" w:h="16840" w:code="9"/>
      <w:pgMar w:top="851"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FFA" w:rsidRDefault="002C6FFA" w:rsidP="00EE112F">
      <w:r>
        <w:separator/>
      </w:r>
    </w:p>
  </w:endnote>
  <w:endnote w:type="continuationSeparator" w:id="0">
    <w:p w:rsidR="002C6FFA" w:rsidRDefault="002C6FFA" w:rsidP="00EE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FFA" w:rsidRDefault="002C6FFA" w:rsidP="00EE112F">
      <w:r>
        <w:separator/>
      </w:r>
    </w:p>
  </w:footnote>
  <w:footnote w:type="continuationSeparator" w:id="0">
    <w:p w:rsidR="002C6FFA" w:rsidRDefault="002C6FFA" w:rsidP="00EE112F">
      <w:r>
        <w:continuationSeparator/>
      </w:r>
    </w:p>
  </w:footnote>
  <w:footnote w:id="1">
    <w:p w:rsidR="001D5DA8" w:rsidRDefault="001D5DA8" w:rsidP="00021DDE">
      <w:pPr>
        <w:pStyle w:val="FootnoteText"/>
        <w:jc w:val="both"/>
      </w:pPr>
      <w:r>
        <w:rPr>
          <w:rStyle w:val="FootnoteReference"/>
        </w:rPr>
        <w:footnoteRef/>
      </w:r>
      <w:r>
        <w:t xml:space="preserve"> Các nguồn tài chính </w:t>
      </w:r>
      <w:r>
        <w:rPr>
          <w:lang w:val="vi-VN"/>
        </w:rPr>
        <w:t xml:space="preserve">chi thường xuyên </w:t>
      </w:r>
      <w:r>
        <w:t xml:space="preserve">theo quy định tại </w:t>
      </w:r>
      <w:r>
        <w:rPr>
          <w:lang w:val="vi-VN"/>
        </w:rPr>
        <w:t xml:space="preserve">Điều 11, Điều 12, Điều 15, Điều 16 </w:t>
      </w:r>
      <w:r>
        <w:t>Nghị định số 60/2021/NĐ-CP ngày 21/6/2021 của Chính phủ gồm nguồn ngân sách nhà nước cấp</w:t>
      </w:r>
      <w:r>
        <w:rPr>
          <w:lang w:val="vi-VN"/>
        </w:rPr>
        <w:t xml:space="preserve"> để </w:t>
      </w:r>
      <w:r>
        <w:t>hỗ trợ một phần chi thường xuyên</w:t>
      </w:r>
      <w:r>
        <w:rPr>
          <w:lang w:val="vi-VN"/>
        </w:rPr>
        <w:t>;</w:t>
      </w:r>
      <w:r>
        <w:t xml:space="preserve"> nguồn ngân sách nhà nước cấp để bảo đảm </w:t>
      </w:r>
      <w:r w:rsidRPr="00585CCF">
        <w:t>hoạt động dịch vụ sự nghiệp công thuộc danh mục dịch vụ sự nghiệp công sử dụng ngân sách nhà nước</w:t>
      </w:r>
      <w:r>
        <w:t>; nguồn thu hoạt động sự nghiệp; n</w:t>
      </w:r>
      <w:r w:rsidRPr="00021DDE">
        <w:t>guồn thu phí được để lại đơn vị sự nghiệp công để chi theo quy định</w:t>
      </w:r>
      <w:r>
        <w:t>; ng</w:t>
      </w:r>
      <w:r w:rsidRPr="00021DDE">
        <w:t>uồn thu khác theo quy định</w:t>
      </w:r>
      <w:r>
        <w:t xml:space="preserve"> (nếu có). Nguồn vốn tích lũy theo Công văn số 9070/BTC-HCSN ngày 28/7/2020 của Bộ Tài chính gồm nguồn Quỹ dự phòng ổn định thu nhập, Quỹ khen thưởng, Quỹ phúc lợi, Nguồn kinh phí cải cách tiền lương.</w:t>
      </w:r>
    </w:p>
  </w:footnote>
  <w:footnote w:id="2">
    <w:p w:rsidR="001D5DA8" w:rsidRDefault="001D5DA8">
      <w:pPr>
        <w:pStyle w:val="FootnoteText"/>
      </w:pPr>
      <w:r>
        <w:rPr>
          <w:rStyle w:val="FootnoteReference"/>
        </w:rPr>
        <w:footnoteRef/>
      </w:r>
      <w:r>
        <w:t xml:space="preserve"> Đã bao gồm chi phí tiền ăn và khấu hao tài sản cố định theo báo cáo của đơn vị.</w:t>
      </w:r>
    </w:p>
  </w:footnote>
  <w:footnote w:id="3">
    <w:p w:rsidR="001D5DA8" w:rsidRDefault="001D5DA8" w:rsidP="0037668E">
      <w:pPr>
        <w:pStyle w:val="FootnoteText"/>
        <w:jc w:val="both"/>
      </w:pPr>
      <w:r>
        <w:rPr>
          <w:rStyle w:val="FootnoteReference"/>
        </w:rPr>
        <w:footnoteRef/>
      </w:r>
      <w:r>
        <w:t xml:space="preserve"> Theo Công văn </w:t>
      </w:r>
      <w:r>
        <w:rPr>
          <w:shd w:val="clear" w:color="auto" w:fill="FFFFFF"/>
        </w:rPr>
        <w:t xml:space="preserve">số 9070/BTC-HCSN ngày 28/7/2020 của Bộ Tài chính, trong năm 2020 các </w:t>
      </w:r>
      <w:r w:rsidRPr="0037668E">
        <w:t>nguồn vốn tích lũy</w:t>
      </w:r>
      <w:r>
        <w:rPr>
          <w:shd w:val="clear" w:color="auto" w:fill="FFFFFF"/>
        </w:rPr>
        <w:t xml:space="preserve"> được dùn</w:t>
      </w:r>
      <w:r w:rsidRPr="0037668E">
        <w:rPr>
          <w:shd w:val="clear" w:color="auto" w:fill="FFFFFF"/>
        </w:rPr>
        <w:t>g để ưu tiên chi trả tiền lương; phụ cấp lương (không kể tiền lương làm việc vào ban đêm, làm thêm giờ và các khoản phụ cấp được quy định bằng mức tuyệt đối) và các khoản đóng góp theo chế độ của số lượng người làm việc có mặt trong phạm vi số lượng người làm việc (đối với ĐVSNCL tự đảm bảo một phần chi thường xuyên), đề án vị trí việc làm (đối với ĐVSNCL tự đảm bảo chi thường xuyên) được cấp có thẩm quyền giao, phê duyệt</w:t>
      </w:r>
      <w:r>
        <w:rPr>
          <w:shd w:val="clear" w:color="auto" w:fill="FFFFFF"/>
        </w:rPr>
        <w:t xml:space="preserve">. Ngoài văn bản nêu trên, các quy định </w:t>
      </w:r>
      <w:r w:rsidRPr="00AA0DFB">
        <w:rPr>
          <w:shd w:val="clear" w:color="auto" w:fill="FFFFFF"/>
        </w:rPr>
        <w:t xml:space="preserve">hiện </w:t>
      </w:r>
      <w:r>
        <w:rPr>
          <w:shd w:val="clear" w:color="auto" w:fill="FFFFFF"/>
        </w:rPr>
        <w:t xml:space="preserve">hành không </w:t>
      </w:r>
      <w:r w:rsidRPr="00AA0DFB">
        <w:rPr>
          <w:shd w:val="clear" w:color="auto" w:fill="FFFFFF"/>
        </w:rPr>
        <w:t xml:space="preserve">cho phép sử dụng các nguồn vốn tích lũy nêu trên để </w:t>
      </w:r>
      <w:r>
        <w:rPr>
          <w:shd w:val="clear" w:color="auto" w:fill="FFFFFF"/>
        </w:rPr>
        <w:t xml:space="preserve">chi </w:t>
      </w:r>
      <w:r w:rsidRPr="00AA0DFB">
        <w:rPr>
          <w:shd w:val="clear" w:color="auto" w:fill="FFFFFF"/>
        </w:rPr>
        <w:t>hoạ</w:t>
      </w:r>
      <w:r>
        <w:rPr>
          <w:shd w:val="clear" w:color="auto" w:fill="FFFFFF"/>
        </w:rPr>
        <w:t xml:space="preserve">t động thường xuyên </w:t>
      </w:r>
      <w:r w:rsidRPr="00487D91">
        <w:rPr>
          <w:shd w:val="clear" w:color="auto" w:fill="FFFFFF"/>
        </w:rPr>
        <w:t xml:space="preserve">trong </w:t>
      </w:r>
      <w:r>
        <w:rPr>
          <w:shd w:val="clear" w:color="auto" w:fill="FFFFFF"/>
        </w:rPr>
        <w:t xml:space="preserve">bối cảnh </w:t>
      </w:r>
      <w:r w:rsidRPr="00487D91">
        <w:rPr>
          <w:shd w:val="clear" w:color="auto" w:fill="FFFFFF"/>
        </w:rPr>
        <w:t>dịch COVID-19. Trong</w:t>
      </w:r>
      <w:r w:rsidRPr="00AA0DFB">
        <w:rPr>
          <w:shd w:val="clear" w:color="auto" w:fill="FFFFFF"/>
        </w:rPr>
        <w:t xml:space="preserve"> khi đó</w:t>
      </w:r>
      <w:r>
        <w:rPr>
          <w:shd w:val="clear" w:color="auto" w:fill="FFFFFF"/>
        </w:rPr>
        <w:t xml:space="preserve"> theo quy định hiện hành</w:t>
      </w:r>
      <w:r w:rsidRPr="00AA0DFB">
        <w:rPr>
          <w:shd w:val="clear" w:color="auto" w:fill="FFFFFF"/>
        </w:rPr>
        <w:t xml:space="preserve">, các nguồn </w:t>
      </w:r>
      <w:r>
        <w:rPr>
          <w:shd w:val="clear" w:color="auto" w:fill="FFFFFF"/>
        </w:rPr>
        <w:t xml:space="preserve">tài chính chi thường xuyên </w:t>
      </w:r>
      <w:r>
        <w:t xml:space="preserve">được dùng để chi cả chi phí tiền lương và chi phí hoạt động thường xuyên ngoài lương. Do đó, UBND tỉnh đề xuất ưu tiên sử dụng toàn bộ nguồn </w:t>
      </w:r>
      <w:r>
        <w:rPr>
          <w:shd w:val="clear" w:color="auto" w:fill="FFFFFF"/>
        </w:rPr>
        <w:t xml:space="preserve">vốn tích lũy để bảo đảm chi phí tiền lương; sau khi dùng hết nguồn vốn tích lũy này mới dùng đến nguồn </w:t>
      </w:r>
      <w:r>
        <w:t>tài chính chi thường xuyên để tiếp tục bảo đảm cả phần chi phí tiền lương và phần chi phí hoạt động thường xuyên ngoài lương bị mất cân đối.</w:t>
      </w:r>
    </w:p>
  </w:footnote>
  <w:footnote w:id="4">
    <w:p w:rsidR="006A7379" w:rsidRDefault="006A7379">
      <w:pPr>
        <w:pStyle w:val="FootnoteText"/>
      </w:pPr>
      <w:r>
        <w:rPr>
          <w:rStyle w:val="FootnoteReference"/>
        </w:rPr>
        <w:footnoteRef/>
      </w:r>
      <w:r>
        <w:t xml:space="preserve"> Đã loại trừ chi phí tiền ăn và khấu hao tài sản cố định theo báo cáo của đơn vị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108963"/>
      <w:docPartObj>
        <w:docPartGallery w:val="Page Numbers (Top of Page)"/>
        <w:docPartUnique/>
      </w:docPartObj>
    </w:sdtPr>
    <w:sdtEndPr>
      <w:rPr>
        <w:noProof/>
      </w:rPr>
    </w:sdtEndPr>
    <w:sdtContent>
      <w:p w:rsidR="001D5DA8" w:rsidRDefault="001D5DA8">
        <w:pPr>
          <w:pStyle w:val="Header"/>
          <w:jc w:val="center"/>
        </w:pPr>
        <w:r>
          <w:fldChar w:fldCharType="begin"/>
        </w:r>
        <w:r>
          <w:instrText xml:space="preserve"> PAGE   \* MERGEFORMAT </w:instrText>
        </w:r>
        <w:r>
          <w:fldChar w:fldCharType="separate"/>
        </w:r>
        <w:r w:rsidR="00351EE8">
          <w:rPr>
            <w:noProof/>
          </w:rPr>
          <w:t>12</w:t>
        </w:r>
        <w:r>
          <w:rPr>
            <w:noProof/>
          </w:rPr>
          <w:fldChar w:fldCharType="end"/>
        </w:r>
      </w:p>
    </w:sdtContent>
  </w:sdt>
  <w:p w:rsidR="001D5DA8" w:rsidRDefault="001D5D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792676"/>
      <w:docPartObj>
        <w:docPartGallery w:val="Page Numbers (Top of Page)"/>
        <w:docPartUnique/>
      </w:docPartObj>
    </w:sdtPr>
    <w:sdtEndPr>
      <w:rPr>
        <w:noProof/>
      </w:rPr>
    </w:sdtEndPr>
    <w:sdtContent>
      <w:p w:rsidR="001D5DA8" w:rsidRDefault="001D5DA8">
        <w:pPr>
          <w:pStyle w:val="Header"/>
          <w:jc w:val="center"/>
        </w:pPr>
        <w:r>
          <w:fldChar w:fldCharType="begin"/>
        </w:r>
        <w:r>
          <w:instrText xml:space="preserve"> PAGE   \* MERGEFORMAT </w:instrText>
        </w:r>
        <w:r>
          <w:fldChar w:fldCharType="separate"/>
        </w:r>
        <w:r w:rsidR="00351EE8">
          <w:rPr>
            <w:noProof/>
          </w:rPr>
          <w:t>1</w:t>
        </w:r>
        <w:r>
          <w:rPr>
            <w:noProof/>
          </w:rPr>
          <w:fldChar w:fldCharType="end"/>
        </w:r>
      </w:p>
    </w:sdtContent>
  </w:sdt>
  <w:p w:rsidR="001D5DA8" w:rsidRDefault="001D5D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43AA"/>
    <w:multiLevelType w:val="hybridMultilevel"/>
    <w:tmpl w:val="67C8EAEA"/>
    <w:lvl w:ilvl="0" w:tplc="787248FC">
      <w:start w:val="2"/>
      <w:numFmt w:val="lowerLetter"/>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24336C8C"/>
    <w:multiLevelType w:val="hybridMultilevel"/>
    <w:tmpl w:val="15E2E7D4"/>
    <w:lvl w:ilvl="0" w:tplc="96862BD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CC1280B"/>
    <w:multiLevelType w:val="hybridMultilevel"/>
    <w:tmpl w:val="2E76DA5E"/>
    <w:lvl w:ilvl="0" w:tplc="E0026F0A">
      <w:start w:val="6"/>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15:restartNumberingAfterBreak="0">
    <w:nsid w:val="385A0E99"/>
    <w:multiLevelType w:val="hybridMultilevel"/>
    <w:tmpl w:val="4E44D54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425F729A"/>
    <w:multiLevelType w:val="hybridMultilevel"/>
    <w:tmpl w:val="AA087656"/>
    <w:lvl w:ilvl="0" w:tplc="FBA4728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7611E5B"/>
    <w:multiLevelType w:val="hybridMultilevel"/>
    <w:tmpl w:val="81E23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F3AEB"/>
    <w:multiLevelType w:val="hybridMultilevel"/>
    <w:tmpl w:val="DAFC7B1C"/>
    <w:lvl w:ilvl="0" w:tplc="859085B4">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15:restartNumberingAfterBreak="0">
    <w:nsid w:val="61914974"/>
    <w:multiLevelType w:val="hybridMultilevel"/>
    <w:tmpl w:val="9CC22B9C"/>
    <w:lvl w:ilvl="0" w:tplc="57FA910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6"/>
  </w:num>
  <w:num w:numId="2">
    <w:abstractNumId w:val="0"/>
  </w:num>
  <w:num w:numId="3">
    <w:abstractNumId w:val="1"/>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2F"/>
    <w:rsid w:val="000043D3"/>
    <w:rsid w:val="00021DDE"/>
    <w:rsid w:val="00021ECE"/>
    <w:rsid w:val="000235B6"/>
    <w:rsid w:val="0003092B"/>
    <w:rsid w:val="00043ADF"/>
    <w:rsid w:val="00044350"/>
    <w:rsid w:val="00054DAA"/>
    <w:rsid w:val="00055641"/>
    <w:rsid w:val="00056AD4"/>
    <w:rsid w:val="00061572"/>
    <w:rsid w:val="0006497A"/>
    <w:rsid w:val="00065152"/>
    <w:rsid w:val="00071D7C"/>
    <w:rsid w:val="00083E71"/>
    <w:rsid w:val="00084034"/>
    <w:rsid w:val="000877B1"/>
    <w:rsid w:val="0009027F"/>
    <w:rsid w:val="00091358"/>
    <w:rsid w:val="00092082"/>
    <w:rsid w:val="00097144"/>
    <w:rsid w:val="000B665B"/>
    <w:rsid w:val="00107388"/>
    <w:rsid w:val="00111845"/>
    <w:rsid w:val="00114CB8"/>
    <w:rsid w:val="00121135"/>
    <w:rsid w:val="0012363E"/>
    <w:rsid w:val="00125B6D"/>
    <w:rsid w:val="001337BD"/>
    <w:rsid w:val="00136283"/>
    <w:rsid w:val="001423B7"/>
    <w:rsid w:val="00145BD6"/>
    <w:rsid w:val="001545FA"/>
    <w:rsid w:val="001666A9"/>
    <w:rsid w:val="00181D56"/>
    <w:rsid w:val="00182314"/>
    <w:rsid w:val="00187F2E"/>
    <w:rsid w:val="00196E13"/>
    <w:rsid w:val="00197904"/>
    <w:rsid w:val="001A040A"/>
    <w:rsid w:val="001A2A62"/>
    <w:rsid w:val="001A5433"/>
    <w:rsid w:val="001C52AF"/>
    <w:rsid w:val="001D5DA8"/>
    <w:rsid w:val="001D6FFB"/>
    <w:rsid w:val="001E0C4F"/>
    <w:rsid w:val="001E724B"/>
    <w:rsid w:val="001F47CC"/>
    <w:rsid w:val="001F7A95"/>
    <w:rsid w:val="00213691"/>
    <w:rsid w:val="00222944"/>
    <w:rsid w:val="00226B41"/>
    <w:rsid w:val="00226F8C"/>
    <w:rsid w:val="002316A9"/>
    <w:rsid w:val="002402C9"/>
    <w:rsid w:val="00254A4A"/>
    <w:rsid w:val="00273AF9"/>
    <w:rsid w:val="0027709E"/>
    <w:rsid w:val="0028423E"/>
    <w:rsid w:val="00285820"/>
    <w:rsid w:val="00285F64"/>
    <w:rsid w:val="0028778C"/>
    <w:rsid w:val="00287BBC"/>
    <w:rsid w:val="0029365C"/>
    <w:rsid w:val="002B0B4B"/>
    <w:rsid w:val="002B40CA"/>
    <w:rsid w:val="002B40D0"/>
    <w:rsid w:val="002B4A07"/>
    <w:rsid w:val="002C1309"/>
    <w:rsid w:val="002C6FFA"/>
    <w:rsid w:val="002D7EB8"/>
    <w:rsid w:val="002E0FBF"/>
    <w:rsid w:val="002E3195"/>
    <w:rsid w:val="002E7EC6"/>
    <w:rsid w:val="002F171D"/>
    <w:rsid w:val="002F27D3"/>
    <w:rsid w:val="003047E9"/>
    <w:rsid w:val="00305F80"/>
    <w:rsid w:val="00322E9F"/>
    <w:rsid w:val="00347FB2"/>
    <w:rsid w:val="00351EE8"/>
    <w:rsid w:val="0036366F"/>
    <w:rsid w:val="00367CBD"/>
    <w:rsid w:val="0037668E"/>
    <w:rsid w:val="00376C3A"/>
    <w:rsid w:val="00377EAA"/>
    <w:rsid w:val="00382E5D"/>
    <w:rsid w:val="00386560"/>
    <w:rsid w:val="003A2337"/>
    <w:rsid w:val="003B65AF"/>
    <w:rsid w:val="003C4F39"/>
    <w:rsid w:val="003C66B6"/>
    <w:rsid w:val="003D029A"/>
    <w:rsid w:val="003D372C"/>
    <w:rsid w:val="003F60EA"/>
    <w:rsid w:val="00403FFE"/>
    <w:rsid w:val="00411324"/>
    <w:rsid w:val="00414D85"/>
    <w:rsid w:val="00415CDF"/>
    <w:rsid w:val="004177D1"/>
    <w:rsid w:val="004214A6"/>
    <w:rsid w:val="00427BEC"/>
    <w:rsid w:val="004337D2"/>
    <w:rsid w:val="00435AE2"/>
    <w:rsid w:val="00461C0A"/>
    <w:rsid w:val="0047684C"/>
    <w:rsid w:val="00482769"/>
    <w:rsid w:val="004914B4"/>
    <w:rsid w:val="004B7739"/>
    <w:rsid w:val="004C62B6"/>
    <w:rsid w:val="004C7F49"/>
    <w:rsid w:val="004D2CE0"/>
    <w:rsid w:val="004D47D9"/>
    <w:rsid w:val="004E104D"/>
    <w:rsid w:val="004E27D8"/>
    <w:rsid w:val="004F029F"/>
    <w:rsid w:val="004F058F"/>
    <w:rsid w:val="0052141C"/>
    <w:rsid w:val="00525DBA"/>
    <w:rsid w:val="005265A5"/>
    <w:rsid w:val="005306B0"/>
    <w:rsid w:val="0054374A"/>
    <w:rsid w:val="00555981"/>
    <w:rsid w:val="00570AEA"/>
    <w:rsid w:val="005735A1"/>
    <w:rsid w:val="005750A2"/>
    <w:rsid w:val="00580464"/>
    <w:rsid w:val="00583B36"/>
    <w:rsid w:val="00585CCF"/>
    <w:rsid w:val="00593AA4"/>
    <w:rsid w:val="005971C1"/>
    <w:rsid w:val="005A403C"/>
    <w:rsid w:val="005A56AB"/>
    <w:rsid w:val="005A6484"/>
    <w:rsid w:val="005C2E10"/>
    <w:rsid w:val="005C72A0"/>
    <w:rsid w:val="005D559F"/>
    <w:rsid w:val="005D58FD"/>
    <w:rsid w:val="005D6A44"/>
    <w:rsid w:val="005F3CE2"/>
    <w:rsid w:val="005F43A1"/>
    <w:rsid w:val="005F46A5"/>
    <w:rsid w:val="00600196"/>
    <w:rsid w:val="00614385"/>
    <w:rsid w:val="0061459E"/>
    <w:rsid w:val="00616D52"/>
    <w:rsid w:val="006237FF"/>
    <w:rsid w:val="00623C90"/>
    <w:rsid w:val="00626153"/>
    <w:rsid w:val="00647233"/>
    <w:rsid w:val="0066343D"/>
    <w:rsid w:val="00666BE3"/>
    <w:rsid w:val="00672B7E"/>
    <w:rsid w:val="00680EC7"/>
    <w:rsid w:val="00681B15"/>
    <w:rsid w:val="00681FA3"/>
    <w:rsid w:val="00691C3D"/>
    <w:rsid w:val="00693938"/>
    <w:rsid w:val="00696456"/>
    <w:rsid w:val="006971BA"/>
    <w:rsid w:val="006A7379"/>
    <w:rsid w:val="006B2AA0"/>
    <w:rsid w:val="006D086E"/>
    <w:rsid w:val="006E1EBE"/>
    <w:rsid w:val="00706D0F"/>
    <w:rsid w:val="007253B8"/>
    <w:rsid w:val="00730CAB"/>
    <w:rsid w:val="007370CC"/>
    <w:rsid w:val="007425A2"/>
    <w:rsid w:val="00747F47"/>
    <w:rsid w:val="00752D17"/>
    <w:rsid w:val="00754071"/>
    <w:rsid w:val="0075769F"/>
    <w:rsid w:val="00762F70"/>
    <w:rsid w:val="00764578"/>
    <w:rsid w:val="007655B2"/>
    <w:rsid w:val="00770C0E"/>
    <w:rsid w:val="00773E33"/>
    <w:rsid w:val="00776BBD"/>
    <w:rsid w:val="00776D3A"/>
    <w:rsid w:val="007810D1"/>
    <w:rsid w:val="00784D7D"/>
    <w:rsid w:val="0078606A"/>
    <w:rsid w:val="00786317"/>
    <w:rsid w:val="0078714D"/>
    <w:rsid w:val="00790020"/>
    <w:rsid w:val="00791E01"/>
    <w:rsid w:val="007A51A8"/>
    <w:rsid w:val="007B2840"/>
    <w:rsid w:val="007C4D60"/>
    <w:rsid w:val="007C4D7E"/>
    <w:rsid w:val="007D214B"/>
    <w:rsid w:val="007D3658"/>
    <w:rsid w:val="007E2CF6"/>
    <w:rsid w:val="007E4B21"/>
    <w:rsid w:val="008047F8"/>
    <w:rsid w:val="008209CE"/>
    <w:rsid w:val="008278D2"/>
    <w:rsid w:val="00844531"/>
    <w:rsid w:val="008446C0"/>
    <w:rsid w:val="008552A5"/>
    <w:rsid w:val="00862CF7"/>
    <w:rsid w:val="00864C4D"/>
    <w:rsid w:val="00867A63"/>
    <w:rsid w:val="00870438"/>
    <w:rsid w:val="00873CC9"/>
    <w:rsid w:val="00876C99"/>
    <w:rsid w:val="00880DCE"/>
    <w:rsid w:val="008869CF"/>
    <w:rsid w:val="00893C20"/>
    <w:rsid w:val="00895467"/>
    <w:rsid w:val="008A3BC8"/>
    <w:rsid w:val="008A4FBC"/>
    <w:rsid w:val="008B0A62"/>
    <w:rsid w:val="008B4398"/>
    <w:rsid w:val="008C598A"/>
    <w:rsid w:val="008D1FB8"/>
    <w:rsid w:val="008D60D4"/>
    <w:rsid w:val="0090296D"/>
    <w:rsid w:val="009508FD"/>
    <w:rsid w:val="00956498"/>
    <w:rsid w:val="00962705"/>
    <w:rsid w:val="0097638C"/>
    <w:rsid w:val="00976C95"/>
    <w:rsid w:val="009801E4"/>
    <w:rsid w:val="0098303B"/>
    <w:rsid w:val="009873F0"/>
    <w:rsid w:val="009909AE"/>
    <w:rsid w:val="00994611"/>
    <w:rsid w:val="0099546B"/>
    <w:rsid w:val="00996DEC"/>
    <w:rsid w:val="009B2EE2"/>
    <w:rsid w:val="009B69B4"/>
    <w:rsid w:val="009B7F34"/>
    <w:rsid w:val="009C3AEF"/>
    <w:rsid w:val="009D69E0"/>
    <w:rsid w:val="009E174D"/>
    <w:rsid w:val="009E2BA4"/>
    <w:rsid w:val="009E5CFC"/>
    <w:rsid w:val="009F23B2"/>
    <w:rsid w:val="00A04147"/>
    <w:rsid w:val="00A07998"/>
    <w:rsid w:val="00A12115"/>
    <w:rsid w:val="00A1224B"/>
    <w:rsid w:val="00A237C6"/>
    <w:rsid w:val="00A24514"/>
    <w:rsid w:val="00A26A14"/>
    <w:rsid w:val="00A30DD4"/>
    <w:rsid w:val="00A41A7B"/>
    <w:rsid w:val="00A6592F"/>
    <w:rsid w:val="00A720D6"/>
    <w:rsid w:val="00A735EE"/>
    <w:rsid w:val="00A7403E"/>
    <w:rsid w:val="00A95F4F"/>
    <w:rsid w:val="00AB08A9"/>
    <w:rsid w:val="00AB4A0F"/>
    <w:rsid w:val="00AB682F"/>
    <w:rsid w:val="00AB6EE6"/>
    <w:rsid w:val="00AC28B1"/>
    <w:rsid w:val="00AC555B"/>
    <w:rsid w:val="00AD450D"/>
    <w:rsid w:val="00AD6432"/>
    <w:rsid w:val="00AD7D6E"/>
    <w:rsid w:val="00AE0CAE"/>
    <w:rsid w:val="00AE344E"/>
    <w:rsid w:val="00AE6215"/>
    <w:rsid w:val="00AE6A88"/>
    <w:rsid w:val="00AF166E"/>
    <w:rsid w:val="00AF50CD"/>
    <w:rsid w:val="00B00DDB"/>
    <w:rsid w:val="00B03CF1"/>
    <w:rsid w:val="00B20D18"/>
    <w:rsid w:val="00B322A7"/>
    <w:rsid w:val="00B36D3E"/>
    <w:rsid w:val="00B4199F"/>
    <w:rsid w:val="00B63CEA"/>
    <w:rsid w:val="00B64AB1"/>
    <w:rsid w:val="00B75A33"/>
    <w:rsid w:val="00B77332"/>
    <w:rsid w:val="00B85989"/>
    <w:rsid w:val="00B86212"/>
    <w:rsid w:val="00B87C0E"/>
    <w:rsid w:val="00BA1E1E"/>
    <w:rsid w:val="00BA4291"/>
    <w:rsid w:val="00BC0228"/>
    <w:rsid w:val="00BC1B8E"/>
    <w:rsid w:val="00BC3BD3"/>
    <w:rsid w:val="00BC4A59"/>
    <w:rsid w:val="00BC58F9"/>
    <w:rsid w:val="00BD010A"/>
    <w:rsid w:val="00BD6346"/>
    <w:rsid w:val="00BD6ABB"/>
    <w:rsid w:val="00BE5550"/>
    <w:rsid w:val="00BF4B98"/>
    <w:rsid w:val="00BF70F5"/>
    <w:rsid w:val="00C06122"/>
    <w:rsid w:val="00C06435"/>
    <w:rsid w:val="00C07721"/>
    <w:rsid w:val="00C21575"/>
    <w:rsid w:val="00C2723C"/>
    <w:rsid w:val="00C46CBA"/>
    <w:rsid w:val="00C624CB"/>
    <w:rsid w:val="00C63C78"/>
    <w:rsid w:val="00C67372"/>
    <w:rsid w:val="00C74756"/>
    <w:rsid w:val="00C75B4D"/>
    <w:rsid w:val="00C76C28"/>
    <w:rsid w:val="00C8607E"/>
    <w:rsid w:val="00C916F0"/>
    <w:rsid w:val="00CA1496"/>
    <w:rsid w:val="00CA2E46"/>
    <w:rsid w:val="00CA43B6"/>
    <w:rsid w:val="00CB2161"/>
    <w:rsid w:val="00CB272F"/>
    <w:rsid w:val="00CB51D8"/>
    <w:rsid w:val="00CB677B"/>
    <w:rsid w:val="00CC2448"/>
    <w:rsid w:val="00CC2AEE"/>
    <w:rsid w:val="00CC3C32"/>
    <w:rsid w:val="00CC4B55"/>
    <w:rsid w:val="00CC7FC0"/>
    <w:rsid w:val="00CD1128"/>
    <w:rsid w:val="00CD5E31"/>
    <w:rsid w:val="00CE0160"/>
    <w:rsid w:val="00CE046E"/>
    <w:rsid w:val="00CF1A8F"/>
    <w:rsid w:val="00D0221B"/>
    <w:rsid w:val="00D03FCF"/>
    <w:rsid w:val="00D10F73"/>
    <w:rsid w:val="00D24963"/>
    <w:rsid w:val="00D27F6B"/>
    <w:rsid w:val="00D34086"/>
    <w:rsid w:val="00D47E73"/>
    <w:rsid w:val="00D56D10"/>
    <w:rsid w:val="00D65A1E"/>
    <w:rsid w:val="00D80257"/>
    <w:rsid w:val="00D814E2"/>
    <w:rsid w:val="00D83E54"/>
    <w:rsid w:val="00D841F1"/>
    <w:rsid w:val="00D8482B"/>
    <w:rsid w:val="00D854E6"/>
    <w:rsid w:val="00D873B4"/>
    <w:rsid w:val="00DA06DB"/>
    <w:rsid w:val="00DA1002"/>
    <w:rsid w:val="00DA4EED"/>
    <w:rsid w:val="00DB0559"/>
    <w:rsid w:val="00DD6884"/>
    <w:rsid w:val="00DE0020"/>
    <w:rsid w:val="00DE1801"/>
    <w:rsid w:val="00DF6FA0"/>
    <w:rsid w:val="00E0323B"/>
    <w:rsid w:val="00E05BA4"/>
    <w:rsid w:val="00E14A4F"/>
    <w:rsid w:val="00E27117"/>
    <w:rsid w:val="00E52185"/>
    <w:rsid w:val="00E546E8"/>
    <w:rsid w:val="00E605A4"/>
    <w:rsid w:val="00E77045"/>
    <w:rsid w:val="00E80666"/>
    <w:rsid w:val="00E807C7"/>
    <w:rsid w:val="00E8249B"/>
    <w:rsid w:val="00E84B77"/>
    <w:rsid w:val="00E93D21"/>
    <w:rsid w:val="00EA0CC0"/>
    <w:rsid w:val="00EA3A2D"/>
    <w:rsid w:val="00EC336A"/>
    <w:rsid w:val="00ED7165"/>
    <w:rsid w:val="00EE112F"/>
    <w:rsid w:val="00EF1495"/>
    <w:rsid w:val="00EF3C12"/>
    <w:rsid w:val="00F0420C"/>
    <w:rsid w:val="00F05F79"/>
    <w:rsid w:val="00F1477B"/>
    <w:rsid w:val="00F3115D"/>
    <w:rsid w:val="00F44E5A"/>
    <w:rsid w:val="00F45726"/>
    <w:rsid w:val="00F654AD"/>
    <w:rsid w:val="00F715EC"/>
    <w:rsid w:val="00F72A0F"/>
    <w:rsid w:val="00F7650A"/>
    <w:rsid w:val="00F765FC"/>
    <w:rsid w:val="00FA1CA3"/>
    <w:rsid w:val="00FA2D38"/>
    <w:rsid w:val="00FA38FD"/>
    <w:rsid w:val="00FC13FB"/>
    <w:rsid w:val="00FC1430"/>
    <w:rsid w:val="00FE17FD"/>
    <w:rsid w:val="00FE76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D32EE"/>
  <w15:docId w15:val="{31E9F07A-3654-43A8-9F1A-E4E49C78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EE112F"/>
    <w:pPr>
      <w:spacing w:after="160" w:line="240" w:lineRule="exact"/>
    </w:pPr>
    <w:rPr>
      <w:rFonts w:ascii="Arial" w:hAnsi="Arial" w:cs="Arial"/>
      <w:sz w:val="22"/>
      <w:szCs w:val="22"/>
    </w:rPr>
  </w:style>
  <w:style w:type="paragraph" w:styleId="FootnoteText">
    <w:name w:val="footnote text"/>
    <w:basedOn w:val="Normal"/>
    <w:link w:val="FootnoteTextChar"/>
    <w:uiPriority w:val="99"/>
    <w:rsid w:val="00EE112F"/>
    <w:rPr>
      <w:sz w:val="20"/>
      <w:szCs w:val="20"/>
    </w:rPr>
  </w:style>
  <w:style w:type="character" w:customStyle="1" w:styleId="FootnoteTextChar">
    <w:name w:val="Footnote Text Char"/>
    <w:basedOn w:val="DefaultParagraphFont"/>
    <w:link w:val="FootnoteText"/>
    <w:uiPriority w:val="99"/>
    <w:rsid w:val="00EE112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E112F"/>
    <w:rPr>
      <w:vertAlign w:val="superscript"/>
    </w:rPr>
  </w:style>
  <w:style w:type="character" w:styleId="Strong">
    <w:name w:val="Strong"/>
    <w:basedOn w:val="DefaultParagraphFont"/>
    <w:uiPriority w:val="22"/>
    <w:qFormat/>
    <w:rsid w:val="00614385"/>
    <w:rPr>
      <w:b/>
      <w:bCs/>
    </w:rPr>
  </w:style>
  <w:style w:type="paragraph" w:styleId="NormalWeb">
    <w:name w:val="Normal (Web)"/>
    <w:basedOn w:val="Normal"/>
    <w:uiPriority w:val="99"/>
    <w:unhideWhenUsed/>
    <w:rsid w:val="00614385"/>
    <w:pPr>
      <w:spacing w:before="100" w:beforeAutospacing="1" w:after="100" w:afterAutospacing="1"/>
    </w:pPr>
    <w:rPr>
      <w:sz w:val="24"/>
      <w:szCs w:val="24"/>
    </w:rPr>
  </w:style>
  <w:style w:type="paragraph" w:styleId="ListParagraph">
    <w:name w:val="List Paragraph"/>
    <w:basedOn w:val="Normal"/>
    <w:uiPriority w:val="34"/>
    <w:qFormat/>
    <w:rsid w:val="004D2CE0"/>
    <w:pPr>
      <w:ind w:left="720"/>
      <w:contextualSpacing/>
    </w:pPr>
  </w:style>
  <w:style w:type="paragraph" w:customStyle="1" w:styleId="normal-p">
    <w:name w:val="normal-p"/>
    <w:basedOn w:val="Normal"/>
    <w:rsid w:val="00B87C0E"/>
    <w:rPr>
      <w:sz w:val="20"/>
      <w:szCs w:val="20"/>
    </w:rPr>
  </w:style>
  <w:style w:type="paragraph" w:styleId="Header">
    <w:name w:val="header"/>
    <w:basedOn w:val="Normal"/>
    <w:link w:val="HeaderChar"/>
    <w:uiPriority w:val="99"/>
    <w:unhideWhenUsed/>
    <w:rsid w:val="009873F0"/>
    <w:pPr>
      <w:tabs>
        <w:tab w:val="center" w:pos="4680"/>
        <w:tab w:val="right" w:pos="9360"/>
      </w:tabs>
    </w:pPr>
  </w:style>
  <w:style w:type="character" w:customStyle="1" w:styleId="HeaderChar">
    <w:name w:val="Header Char"/>
    <w:basedOn w:val="DefaultParagraphFont"/>
    <w:link w:val="Header"/>
    <w:uiPriority w:val="99"/>
    <w:rsid w:val="009873F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873F0"/>
    <w:pPr>
      <w:tabs>
        <w:tab w:val="center" w:pos="4680"/>
        <w:tab w:val="right" w:pos="9360"/>
      </w:tabs>
    </w:pPr>
  </w:style>
  <w:style w:type="character" w:customStyle="1" w:styleId="FooterChar">
    <w:name w:val="Footer Char"/>
    <w:basedOn w:val="DefaultParagraphFont"/>
    <w:link w:val="Footer"/>
    <w:uiPriority w:val="99"/>
    <w:rsid w:val="009873F0"/>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9873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73F0"/>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00DD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C4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3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515">
      <w:bodyDiv w:val="1"/>
      <w:marLeft w:val="0"/>
      <w:marRight w:val="0"/>
      <w:marTop w:val="0"/>
      <w:marBottom w:val="0"/>
      <w:divBdr>
        <w:top w:val="none" w:sz="0" w:space="0" w:color="auto"/>
        <w:left w:val="none" w:sz="0" w:space="0" w:color="auto"/>
        <w:bottom w:val="none" w:sz="0" w:space="0" w:color="auto"/>
        <w:right w:val="none" w:sz="0" w:space="0" w:color="auto"/>
      </w:divBdr>
    </w:div>
    <w:div w:id="13651813">
      <w:bodyDiv w:val="1"/>
      <w:marLeft w:val="0"/>
      <w:marRight w:val="0"/>
      <w:marTop w:val="0"/>
      <w:marBottom w:val="0"/>
      <w:divBdr>
        <w:top w:val="none" w:sz="0" w:space="0" w:color="auto"/>
        <w:left w:val="none" w:sz="0" w:space="0" w:color="auto"/>
        <w:bottom w:val="none" w:sz="0" w:space="0" w:color="auto"/>
        <w:right w:val="none" w:sz="0" w:space="0" w:color="auto"/>
      </w:divBdr>
    </w:div>
    <w:div w:id="20057099">
      <w:bodyDiv w:val="1"/>
      <w:marLeft w:val="0"/>
      <w:marRight w:val="0"/>
      <w:marTop w:val="0"/>
      <w:marBottom w:val="0"/>
      <w:divBdr>
        <w:top w:val="none" w:sz="0" w:space="0" w:color="auto"/>
        <w:left w:val="none" w:sz="0" w:space="0" w:color="auto"/>
        <w:bottom w:val="none" w:sz="0" w:space="0" w:color="auto"/>
        <w:right w:val="none" w:sz="0" w:space="0" w:color="auto"/>
      </w:divBdr>
    </w:div>
    <w:div w:id="60252243">
      <w:bodyDiv w:val="1"/>
      <w:marLeft w:val="0"/>
      <w:marRight w:val="0"/>
      <w:marTop w:val="0"/>
      <w:marBottom w:val="0"/>
      <w:divBdr>
        <w:top w:val="none" w:sz="0" w:space="0" w:color="auto"/>
        <w:left w:val="none" w:sz="0" w:space="0" w:color="auto"/>
        <w:bottom w:val="none" w:sz="0" w:space="0" w:color="auto"/>
        <w:right w:val="none" w:sz="0" w:space="0" w:color="auto"/>
      </w:divBdr>
    </w:div>
    <w:div w:id="97680687">
      <w:bodyDiv w:val="1"/>
      <w:marLeft w:val="0"/>
      <w:marRight w:val="0"/>
      <w:marTop w:val="0"/>
      <w:marBottom w:val="0"/>
      <w:divBdr>
        <w:top w:val="none" w:sz="0" w:space="0" w:color="auto"/>
        <w:left w:val="none" w:sz="0" w:space="0" w:color="auto"/>
        <w:bottom w:val="none" w:sz="0" w:space="0" w:color="auto"/>
        <w:right w:val="none" w:sz="0" w:space="0" w:color="auto"/>
      </w:divBdr>
    </w:div>
    <w:div w:id="123039865">
      <w:bodyDiv w:val="1"/>
      <w:marLeft w:val="0"/>
      <w:marRight w:val="0"/>
      <w:marTop w:val="0"/>
      <w:marBottom w:val="0"/>
      <w:divBdr>
        <w:top w:val="none" w:sz="0" w:space="0" w:color="auto"/>
        <w:left w:val="none" w:sz="0" w:space="0" w:color="auto"/>
        <w:bottom w:val="none" w:sz="0" w:space="0" w:color="auto"/>
        <w:right w:val="none" w:sz="0" w:space="0" w:color="auto"/>
      </w:divBdr>
    </w:div>
    <w:div w:id="123668172">
      <w:bodyDiv w:val="1"/>
      <w:marLeft w:val="0"/>
      <w:marRight w:val="0"/>
      <w:marTop w:val="0"/>
      <w:marBottom w:val="0"/>
      <w:divBdr>
        <w:top w:val="none" w:sz="0" w:space="0" w:color="auto"/>
        <w:left w:val="none" w:sz="0" w:space="0" w:color="auto"/>
        <w:bottom w:val="none" w:sz="0" w:space="0" w:color="auto"/>
        <w:right w:val="none" w:sz="0" w:space="0" w:color="auto"/>
      </w:divBdr>
    </w:div>
    <w:div w:id="131870446">
      <w:bodyDiv w:val="1"/>
      <w:marLeft w:val="0"/>
      <w:marRight w:val="0"/>
      <w:marTop w:val="0"/>
      <w:marBottom w:val="0"/>
      <w:divBdr>
        <w:top w:val="none" w:sz="0" w:space="0" w:color="auto"/>
        <w:left w:val="none" w:sz="0" w:space="0" w:color="auto"/>
        <w:bottom w:val="none" w:sz="0" w:space="0" w:color="auto"/>
        <w:right w:val="none" w:sz="0" w:space="0" w:color="auto"/>
      </w:divBdr>
    </w:div>
    <w:div w:id="157306680">
      <w:bodyDiv w:val="1"/>
      <w:marLeft w:val="0"/>
      <w:marRight w:val="0"/>
      <w:marTop w:val="0"/>
      <w:marBottom w:val="0"/>
      <w:divBdr>
        <w:top w:val="none" w:sz="0" w:space="0" w:color="auto"/>
        <w:left w:val="none" w:sz="0" w:space="0" w:color="auto"/>
        <w:bottom w:val="none" w:sz="0" w:space="0" w:color="auto"/>
        <w:right w:val="none" w:sz="0" w:space="0" w:color="auto"/>
      </w:divBdr>
    </w:div>
    <w:div w:id="203056888">
      <w:bodyDiv w:val="1"/>
      <w:marLeft w:val="0"/>
      <w:marRight w:val="0"/>
      <w:marTop w:val="0"/>
      <w:marBottom w:val="0"/>
      <w:divBdr>
        <w:top w:val="none" w:sz="0" w:space="0" w:color="auto"/>
        <w:left w:val="none" w:sz="0" w:space="0" w:color="auto"/>
        <w:bottom w:val="none" w:sz="0" w:space="0" w:color="auto"/>
        <w:right w:val="none" w:sz="0" w:space="0" w:color="auto"/>
      </w:divBdr>
    </w:div>
    <w:div w:id="234781157">
      <w:bodyDiv w:val="1"/>
      <w:marLeft w:val="0"/>
      <w:marRight w:val="0"/>
      <w:marTop w:val="0"/>
      <w:marBottom w:val="0"/>
      <w:divBdr>
        <w:top w:val="none" w:sz="0" w:space="0" w:color="auto"/>
        <w:left w:val="none" w:sz="0" w:space="0" w:color="auto"/>
        <w:bottom w:val="none" w:sz="0" w:space="0" w:color="auto"/>
        <w:right w:val="none" w:sz="0" w:space="0" w:color="auto"/>
      </w:divBdr>
    </w:div>
    <w:div w:id="257560576">
      <w:bodyDiv w:val="1"/>
      <w:marLeft w:val="0"/>
      <w:marRight w:val="0"/>
      <w:marTop w:val="0"/>
      <w:marBottom w:val="0"/>
      <w:divBdr>
        <w:top w:val="none" w:sz="0" w:space="0" w:color="auto"/>
        <w:left w:val="none" w:sz="0" w:space="0" w:color="auto"/>
        <w:bottom w:val="none" w:sz="0" w:space="0" w:color="auto"/>
        <w:right w:val="none" w:sz="0" w:space="0" w:color="auto"/>
      </w:divBdr>
    </w:div>
    <w:div w:id="268976364">
      <w:bodyDiv w:val="1"/>
      <w:marLeft w:val="0"/>
      <w:marRight w:val="0"/>
      <w:marTop w:val="0"/>
      <w:marBottom w:val="0"/>
      <w:divBdr>
        <w:top w:val="none" w:sz="0" w:space="0" w:color="auto"/>
        <w:left w:val="none" w:sz="0" w:space="0" w:color="auto"/>
        <w:bottom w:val="none" w:sz="0" w:space="0" w:color="auto"/>
        <w:right w:val="none" w:sz="0" w:space="0" w:color="auto"/>
      </w:divBdr>
    </w:div>
    <w:div w:id="271593661">
      <w:bodyDiv w:val="1"/>
      <w:marLeft w:val="0"/>
      <w:marRight w:val="0"/>
      <w:marTop w:val="0"/>
      <w:marBottom w:val="0"/>
      <w:divBdr>
        <w:top w:val="none" w:sz="0" w:space="0" w:color="auto"/>
        <w:left w:val="none" w:sz="0" w:space="0" w:color="auto"/>
        <w:bottom w:val="none" w:sz="0" w:space="0" w:color="auto"/>
        <w:right w:val="none" w:sz="0" w:space="0" w:color="auto"/>
      </w:divBdr>
    </w:div>
    <w:div w:id="439373704">
      <w:bodyDiv w:val="1"/>
      <w:marLeft w:val="0"/>
      <w:marRight w:val="0"/>
      <w:marTop w:val="0"/>
      <w:marBottom w:val="0"/>
      <w:divBdr>
        <w:top w:val="none" w:sz="0" w:space="0" w:color="auto"/>
        <w:left w:val="none" w:sz="0" w:space="0" w:color="auto"/>
        <w:bottom w:val="none" w:sz="0" w:space="0" w:color="auto"/>
        <w:right w:val="none" w:sz="0" w:space="0" w:color="auto"/>
      </w:divBdr>
    </w:div>
    <w:div w:id="500856825">
      <w:bodyDiv w:val="1"/>
      <w:marLeft w:val="0"/>
      <w:marRight w:val="0"/>
      <w:marTop w:val="0"/>
      <w:marBottom w:val="0"/>
      <w:divBdr>
        <w:top w:val="none" w:sz="0" w:space="0" w:color="auto"/>
        <w:left w:val="none" w:sz="0" w:space="0" w:color="auto"/>
        <w:bottom w:val="none" w:sz="0" w:space="0" w:color="auto"/>
        <w:right w:val="none" w:sz="0" w:space="0" w:color="auto"/>
      </w:divBdr>
    </w:div>
    <w:div w:id="538707552">
      <w:bodyDiv w:val="1"/>
      <w:marLeft w:val="0"/>
      <w:marRight w:val="0"/>
      <w:marTop w:val="0"/>
      <w:marBottom w:val="0"/>
      <w:divBdr>
        <w:top w:val="none" w:sz="0" w:space="0" w:color="auto"/>
        <w:left w:val="none" w:sz="0" w:space="0" w:color="auto"/>
        <w:bottom w:val="none" w:sz="0" w:space="0" w:color="auto"/>
        <w:right w:val="none" w:sz="0" w:space="0" w:color="auto"/>
      </w:divBdr>
    </w:div>
    <w:div w:id="636298414">
      <w:bodyDiv w:val="1"/>
      <w:marLeft w:val="0"/>
      <w:marRight w:val="0"/>
      <w:marTop w:val="0"/>
      <w:marBottom w:val="0"/>
      <w:divBdr>
        <w:top w:val="none" w:sz="0" w:space="0" w:color="auto"/>
        <w:left w:val="none" w:sz="0" w:space="0" w:color="auto"/>
        <w:bottom w:val="none" w:sz="0" w:space="0" w:color="auto"/>
        <w:right w:val="none" w:sz="0" w:space="0" w:color="auto"/>
      </w:divBdr>
    </w:div>
    <w:div w:id="637758493">
      <w:bodyDiv w:val="1"/>
      <w:marLeft w:val="0"/>
      <w:marRight w:val="0"/>
      <w:marTop w:val="0"/>
      <w:marBottom w:val="0"/>
      <w:divBdr>
        <w:top w:val="none" w:sz="0" w:space="0" w:color="auto"/>
        <w:left w:val="none" w:sz="0" w:space="0" w:color="auto"/>
        <w:bottom w:val="none" w:sz="0" w:space="0" w:color="auto"/>
        <w:right w:val="none" w:sz="0" w:space="0" w:color="auto"/>
      </w:divBdr>
    </w:div>
    <w:div w:id="642658180">
      <w:bodyDiv w:val="1"/>
      <w:marLeft w:val="0"/>
      <w:marRight w:val="0"/>
      <w:marTop w:val="0"/>
      <w:marBottom w:val="0"/>
      <w:divBdr>
        <w:top w:val="none" w:sz="0" w:space="0" w:color="auto"/>
        <w:left w:val="none" w:sz="0" w:space="0" w:color="auto"/>
        <w:bottom w:val="none" w:sz="0" w:space="0" w:color="auto"/>
        <w:right w:val="none" w:sz="0" w:space="0" w:color="auto"/>
      </w:divBdr>
    </w:div>
    <w:div w:id="653028830">
      <w:bodyDiv w:val="1"/>
      <w:marLeft w:val="0"/>
      <w:marRight w:val="0"/>
      <w:marTop w:val="0"/>
      <w:marBottom w:val="0"/>
      <w:divBdr>
        <w:top w:val="none" w:sz="0" w:space="0" w:color="auto"/>
        <w:left w:val="none" w:sz="0" w:space="0" w:color="auto"/>
        <w:bottom w:val="none" w:sz="0" w:space="0" w:color="auto"/>
        <w:right w:val="none" w:sz="0" w:space="0" w:color="auto"/>
      </w:divBdr>
    </w:div>
    <w:div w:id="654838852">
      <w:bodyDiv w:val="1"/>
      <w:marLeft w:val="0"/>
      <w:marRight w:val="0"/>
      <w:marTop w:val="0"/>
      <w:marBottom w:val="0"/>
      <w:divBdr>
        <w:top w:val="none" w:sz="0" w:space="0" w:color="auto"/>
        <w:left w:val="none" w:sz="0" w:space="0" w:color="auto"/>
        <w:bottom w:val="none" w:sz="0" w:space="0" w:color="auto"/>
        <w:right w:val="none" w:sz="0" w:space="0" w:color="auto"/>
      </w:divBdr>
    </w:div>
    <w:div w:id="682366706">
      <w:bodyDiv w:val="1"/>
      <w:marLeft w:val="0"/>
      <w:marRight w:val="0"/>
      <w:marTop w:val="0"/>
      <w:marBottom w:val="0"/>
      <w:divBdr>
        <w:top w:val="none" w:sz="0" w:space="0" w:color="auto"/>
        <w:left w:val="none" w:sz="0" w:space="0" w:color="auto"/>
        <w:bottom w:val="none" w:sz="0" w:space="0" w:color="auto"/>
        <w:right w:val="none" w:sz="0" w:space="0" w:color="auto"/>
      </w:divBdr>
    </w:div>
    <w:div w:id="762845426">
      <w:bodyDiv w:val="1"/>
      <w:marLeft w:val="0"/>
      <w:marRight w:val="0"/>
      <w:marTop w:val="0"/>
      <w:marBottom w:val="0"/>
      <w:divBdr>
        <w:top w:val="none" w:sz="0" w:space="0" w:color="auto"/>
        <w:left w:val="none" w:sz="0" w:space="0" w:color="auto"/>
        <w:bottom w:val="none" w:sz="0" w:space="0" w:color="auto"/>
        <w:right w:val="none" w:sz="0" w:space="0" w:color="auto"/>
      </w:divBdr>
    </w:div>
    <w:div w:id="776681264">
      <w:bodyDiv w:val="1"/>
      <w:marLeft w:val="0"/>
      <w:marRight w:val="0"/>
      <w:marTop w:val="0"/>
      <w:marBottom w:val="0"/>
      <w:divBdr>
        <w:top w:val="none" w:sz="0" w:space="0" w:color="auto"/>
        <w:left w:val="none" w:sz="0" w:space="0" w:color="auto"/>
        <w:bottom w:val="none" w:sz="0" w:space="0" w:color="auto"/>
        <w:right w:val="none" w:sz="0" w:space="0" w:color="auto"/>
      </w:divBdr>
    </w:div>
    <w:div w:id="778987426">
      <w:bodyDiv w:val="1"/>
      <w:marLeft w:val="0"/>
      <w:marRight w:val="0"/>
      <w:marTop w:val="0"/>
      <w:marBottom w:val="0"/>
      <w:divBdr>
        <w:top w:val="none" w:sz="0" w:space="0" w:color="auto"/>
        <w:left w:val="none" w:sz="0" w:space="0" w:color="auto"/>
        <w:bottom w:val="none" w:sz="0" w:space="0" w:color="auto"/>
        <w:right w:val="none" w:sz="0" w:space="0" w:color="auto"/>
      </w:divBdr>
    </w:div>
    <w:div w:id="803699439">
      <w:bodyDiv w:val="1"/>
      <w:marLeft w:val="0"/>
      <w:marRight w:val="0"/>
      <w:marTop w:val="0"/>
      <w:marBottom w:val="0"/>
      <w:divBdr>
        <w:top w:val="none" w:sz="0" w:space="0" w:color="auto"/>
        <w:left w:val="none" w:sz="0" w:space="0" w:color="auto"/>
        <w:bottom w:val="none" w:sz="0" w:space="0" w:color="auto"/>
        <w:right w:val="none" w:sz="0" w:space="0" w:color="auto"/>
      </w:divBdr>
    </w:div>
    <w:div w:id="873422204">
      <w:bodyDiv w:val="1"/>
      <w:marLeft w:val="0"/>
      <w:marRight w:val="0"/>
      <w:marTop w:val="0"/>
      <w:marBottom w:val="0"/>
      <w:divBdr>
        <w:top w:val="none" w:sz="0" w:space="0" w:color="auto"/>
        <w:left w:val="none" w:sz="0" w:space="0" w:color="auto"/>
        <w:bottom w:val="none" w:sz="0" w:space="0" w:color="auto"/>
        <w:right w:val="none" w:sz="0" w:space="0" w:color="auto"/>
      </w:divBdr>
    </w:div>
    <w:div w:id="879249913">
      <w:bodyDiv w:val="1"/>
      <w:marLeft w:val="0"/>
      <w:marRight w:val="0"/>
      <w:marTop w:val="0"/>
      <w:marBottom w:val="0"/>
      <w:divBdr>
        <w:top w:val="none" w:sz="0" w:space="0" w:color="auto"/>
        <w:left w:val="none" w:sz="0" w:space="0" w:color="auto"/>
        <w:bottom w:val="none" w:sz="0" w:space="0" w:color="auto"/>
        <w:right w:val="none" w:sz="0" w:space="0" w:color="auto"/>
      </w:divBdr>
    </w:div>
    <w:div w:id="881792750">
      <w:bodyDiv w:val="1"/>
      <w:marLeft w:val="0"/>
      <w:marRight w:val="0"/>
      <w:marTop w:val="0"/>
      <w:marBottom w:val="0"/>
      <w:divBdr>
        <w:top w:val="none" w:sz="0" w:space="0" w:color="auto"/>
        <w:left w:val="none" w:sz="0" w:space="0" w:color="auto"/>
        <w:bottom w:val="none" w:sz="0" w:space="0" w:color="auto"/>
        <w:right w:val="none" w:sz="0" w:space="0" w:color="auto"/>
      </w:divBdr>
    </w:div>
    <w:div w:id="953563487">
      <w:bodyDiv w:val="1"/>
      <w:marLeft w:val="0"/>
      <w:marRight w:val="0"/>
      <w:marTop w:val="0"/>
      <w:marBottom w:val="0"/>
      <w:divBdr>
        <w:top w:val="none" w:sz="0" w:space="0" w:color="auto"/>
        <w:left w:val="none" w:sz="0" w:space="0" w:color="auto"/>
        <w:bottom w:val="none" w:sz="0" w:space="0" w:color="auto"/>
        <w:right w:val="none" w:sz="0" w:space="0" w:color="auto"/>
      </w:divBdr>
    </w:div>
    <w:div w:id="989478554">
      <w:bodyDiv w:val="1"/>
      <w:marLeft w:val="0"/>
      <w:marRight w:val="0"/>
      <w:marTop w:val="0"/>
      <w:marBottom w:val="0"/>
      <w:divBdr>
        <w:top w:val="none" w:sz="0" w:space="0" w:color="auto"/>
        <w:left w:val="none" w:sz="0" w:space="0" w:color="auto"/>
        <w:bottom w:val="none" w:sz="0" w:space="0" w:color="auto"/>
        <w:right w:val="none" w:sz="0" w:space="0" w:color="auto"/>
      </w:divBdr>
    </w:div>
    <w:div w:id="1058094991">
      <w:bodyDiv w:val="1"/>
      <w:marLeft w:val="0"/>
      <w:marRight w:val="0"/>
      <w:marTop w:val="0"/>
      <w:marBottom w:val="0"/>
      <w:divBdr>
        <w:top w:val="none" w:sz="0" w:space="0" w:color="auto"/>
        <w:left w:val="none" w:sz="0" w:space="0" w:color="auto"/>
        <w:bottom w:val="none" w:sz="0" w:space="0" w:color="auto"/>
        <w:right w:val="none" w:sz="0" w:space="0" w:color="auto"/>
      </w:divBdr>
    </w:div>
    <w:div w:id="1121151314">
      <w:bodyDiv w:val="1"/>
      <w:marLeft w:val="0"/>
      <w:marRight w:val="0"/>
      <w:marTop w:val="0"/>
      <w:marBottom w:val="0"/>
      <w:divBdr>
        <w:top w:val="none" w:sz="0" w:space="0" w:color="auto"/>
        <w:left w:val="none" w:sz="0" w:space="0" w:color="auto"/>
        <w:bottom w:val="none" w:sz="0" w:space="0" w:color="auto"/>
        <w:right w:val="none" w:sz="0" w:space="0" w:color="auto"/>
      </w:divBdr>
    </w:div>
    <w:div w:id="1133526689">
      <w:bodyDiv w:val="1"/>
      <w:marLeft w:val="0"/>
      <w:marRight w:val="0"/>
      <w:marTop w:val="0"/>
      <w:marBottom w:val="0"/>
      <w:divBdr>
        <w:top w:val="none" w:sz="0" w:space="0" w:color="auto"/>
        <w:left w:val="none" w:sz="0" w:space="0" w:color="auto"/>
        <w:bottom w:val="none" w:sz="0" w:space="0" w:color="auto"/>
        <w:right w:val="none" w:sz="0" w:space="0" w:color="auto"/>
      </w:divBdr>
    </w:div>
    <w:div w:id="1162618593">
      <w:bodyDiv w:val="1"/>
      <w:marLeft w:val="0"/>
      <w:marRight w:val="0"/>
      <w:marTop w:val="0"/>
      <w:marBottom w:val="0"/>
      <w:divBdr>
        <w:top w:val="none" w:sz="0" w:space="0" w:color="auto"/>
        <w:left w:val="none" w:sz="0" w:space="0" w:color="auto"/>
        <w:bottom w:val="none" w:sz="0" w:space="0" w:color="auto"/>
        <w:right w:val="none" w:sz="0" w:space="0" w:color="auto"/>
      </w:divBdr>
    </w:div>
    <w:div w:id="1199077270">
      <w:bodyDiv w:val="1"/>
      <w:marLeft w:val="0"/>
      <w:marRight w:val="0"/>
      <w:marTop w:val="0"/>
      <w:marBottom w:val="0"/>
      <w:divBdr>
        <w:top w:val="none" w:sz="0" w:space="0" w:color="auto"/>
        <w:left w:val="none" w:sz="0" w:space="0" w:color="auto"/>
        <w:bottom w:val="none" w:sz="0" w:space="0" w:color="auto"/>
        <w:right w:val="none" w:sz="0" w:space="0" w:color="auto"/>
      </w:divBdr>
    </w:div>
    <w:div w:id="1222791790">
      <w:bodyDiv w:val="1"/>
      <w:marLeft w:val="0"/>
      <w:marRight w:val="0"/>
      <w:marTop w:val="0"/>
      <w:marBottom w:val="0"/>
      <w:divBdr>
        <w:top w:val="none" w:sz="0" w:space="0" w:color="auto"/>
        <w:left w:val="none" w:sz="0" w:space="0" w:color="auto"/>
        <w:bottom w:val="none" w:sz="0" w:space="0" w:color="auto"/>
        <w:right w:val="none" w:sz="0" w:space="0" w:color="auto"/>
      </w:divBdr>
    </w:div>
    <w:div w:id="1251279173">
      <w:bodyDiv w:val="1"/>
      <w:marLeft w:val="0"/>
      <w:marRight w:val="0"/>
      <w:marTop w:val="0"/>
      <w:marBottom w:val="0"/>
      <w:divBdr>
        <w:top w:val="none" w:sz="0" w:space="0" w:color="auto"/>
        <w:left w:val="none" w:sz="0" w:space="0" w:color="auto"/>
        <w:bottom w:val="none" w:sz="0" w:space="0" w:color="auto"/>
        <w:right w:val="none" w:sz="0" w:space="0" w:color="auto"/>
      </w:divBdr>
    </w:div>
    <w:div w:id="1278639804">
      <w:bodyDiv w:val="1"/>
      <w:marLeft w:val="0"/>
      <w:marRight w:val="0"/>
      <w:marTop w:val="0"/>
      <w:marBottom w:val="0"/>
      <w:divBdr>
        <w:top w:val="none" w:sz="0" w:space="0" w:color="auto"/>
        <w:left w:val="none" w:sz="0" w:space="0" w:color="auto"/>
        <w:bottom w:val="none" w:sz="0" w:space="0" w:color="auto"/>
        <w:right w:val="none" w:sz="0" w:space="0" w:color="auto"/>
      </w:divBdr>
    </w:div>
    <w:div w:id="1324506492">
      <w:bodyDiv w:val="1"/>
      <w:marLeft w:val="0"/>
      <w:marRight w:val="0"/>
      <w:marTop w:val="0"/>
      <w:marBottom w:val="0"/>
      <w:divBdr>
        <w:top w:val="none" w:sz="0" w:space="0" w:color="auto"/>
        <w:left w:val="none" w:sz="0" w:space="0" w:color="auto"/>
        <w:bottom w:val="none" w:sz="0" w:space="0" w:color="auto"/>
        <w:right w:val="none" w:sz="0" w:space="0" w:color="auto"/>
      </w:divBdr>
    </w:div>
    <w:div w:id="1342926479">
      <w:bodyDiv w:val="1"/>
      <w:marLeft w:val="0"/>
      <w:marRight w:val="0"/>
      <w:marTop w:val="0"/>
      <w:marBottom w:val="0"/>
      <w:divBdr>
        <w:top w:val="none" w:sz="0" w:space="0" w:color="auto"/>
        <w:left w:val="none" w:sz="0" w:space="0" w:color="auto"/>
        <w:bottom w:val="none" w:sz="0" w:space="0" w:color="auto"/>
        <w:right w:val="none" w:sz="0" w:space="0" w:color="auto"/>
      </w:divBdr>
    </w:div>
    <w:div w:id="1408572345">
      <w:bodyDiv w:val="1"/>
      <w:marLeft w:val="0"/>
      <w:marRight w:val="0"/>
      <w:marTop w:val="0"/>
      <w:marBottom w:val="0"/>
      <w:divBdr>
        <w:top w:val="none" w:sz="0" w:space="0" w:color="auto"/>
        <w:left w:val="none" w:sz="0" w:space="0" w:color="auto"/>
        <w:bottom w:val="none" w:sz="0" w:space="0" w:color="auto"/>
        <w:right w:val="none" w:sz="0" w:space="0" w:color="auto"/>
      </w:divBdr>
    </w:div>
    <w:div w:id="1415736450">
      <w:bodyDiv w:val="1"/>
      <w:marLeft w:val="0"/>
      <w:marRight w:val="0"/>
      <w:marTop w:val="0"/>
      <w:marBottom w:val="0"/>
      <w:divBdr>
        <w:top w:val="none" w:sz="0" w:space="0" w:color="auto"/>
        <w:left w:val="none" w:sz="0" w:space="0" w:color="auto"/>
        <w:bottom w:val="none" w:sz="0" w:space="0" w:color="auto"/>
        <w:right w:val="none" w:sz="0" w:space="0" w:color="auto"/>
      </w:divBdr>
    </w:div>
    <w:div w:id="1530293938">
      <w:bodyDiv w:val="1"/>
      <w:marLeft w:val="0"/>
      <w:marRight w:val="0"/>
      <w:marTop w:val="0"/>
      <w:marBottom w:val="0"/>
      <w:divBdr>
        <w:top w:val="none" w:sz="0" w:space="0" w:color="auto"/>
        <w:left w:val="none" w:sz="0" w:space="0" w:color="auto"/>
        <w:bottom w:val="none" w:sz="0" w:space="0" w:color="auto"/>
        <w:right w:val="none" w:sz="0" w:space="0" w:color="auto"/>
      </w:divBdr>
    </w:div>
    <w:div w:id="1554267186">
      <w:bodyDiv w:val="1"/>
      <w:marLeft w:val="0"/>
      <w:marRight w:val="0"/>
      <w:marTop w:val="0"/>
      <w:marBottom w:val="0"/>
      <w:divBdr>
        <w:top w:val="none" w:sz="0" w:space="0" w:color="auto"/>
        <w:left w:val="none" w:sz="0" w:space="0" w:color="auto"/>
        <w:bottom w:val="none" w:sz="0" w:space="0" w:color="auto"/>
        <w:right w:val="none" w:sz="0" w:space="0" w:color="auto"/>
      </w:divBdr>
    </w:div>
    <w:div w:id="1566138275">
      <w:bodyDiv w:val="1"/>
      <w:marLeft w:val="0"/>
      <w:marRight w:val="0"/>
      <w:marTop w:val="0"/>
      <w:marBottom w:val="0"/>
      <w:divBdr>
        <w:top w:val="none" w:sz="0" w:space="0" w:color="auto"/>
        <w:left w:val="none" w:sz="0" w:space="0" w:color="auto"/>
        <w:bottom w:val="none" w:sz="0" w:space="0" w:color="auto"/>
        <w:right w:val="none" w:sz="0" w:space="0" w:color="auto"/>
      </w:divBdr>
    </w:div>
    <w:div w:id="1589122131">
      <w:bodyDiv w:val="1"/>
      <w:marLeft w:val="0"/>
      <w:marRight w:val="0"/>
      <w:marTop w:val="0"/>
      <w:marBottom w:val="0"/>
      <w:divBdr>
        <w:top w:val="none" w:sz="0" w:space="0" w:color="auto"/>
        <w:left w:val="none" w:sz="0" w:space="0" w:color="auto"/>
        <w:bottom w:val="none" w:sz="0" w:space="0" w:color="auto"/>
        <w:right w:val="none" w:sz="0" w:space="0" w:color="auto"/>
      </w:divBdr>
    </w:div>
    <w:div w:id="1610501573">
      <w:bodyDiv w:val="1"/>
      <w:marLeft w:val="0"/>
      <w:marRight w:val="0"/>
      <w:marTop w:val="0"/>
      <w:marBottom w:val="0"/>
      <w:divBdr>
        <w:top w:val="none" w:sz="0" w:space="0" w:color="auto"/>
        <w:left w:val="none" w:sz="0" w:space="0" w:color="auto"/>
        <w:bottom w:val="none" w:sz="0" w:space="0" w:color="auto"/>
        <w:right w:val="none" w:sz="0" w:space="0" w:color="auto"/>
      </w:divBdr>
    </w:div>
    <w:div w:id="1656256030">
      <w:bodyDiv w:val="1"/>
      <w:marLeft w:val="0"/>
      <w:marRight w:val="0"/>
      <w:marTop w:val="0"/>
      <w:marBottom w:val="0"/>
      <w:divBdr>
        <w:top w:val="none" w:sz="0" w:space="0" w:color="auto"/>
        <w:left w:val="none" w:sz="0" w:space="0" w:color="auto"/>
        <w:bottom w:val="none" w:sz="0" w:space="0" w:color="auto"/>
        <w:right w:val="none" w:sz="0" w:space="0" w:color="auto"/>
      </w:divBdr>
    </w:div>
    <w:div w:id="1719158098">
      <w:bodyDiv w:val="1"/>
      <w:marLeft w:val="0"/>
      <w:marRight w:val="0"/>
      <w:marTop w:val="0"/>
      <w:marBottom w:val="0"/>
      <w:divBdr>
        <w:top w:val="none" w:sz="0" w:space="0" w:color="auto"/>
        <w:left w:val="none" w:sz="0" w:space="0" w:color="auto"/>
        <w:bottom w:val="none" w:sz="0" w:space="0" w:color="auto"/>
        <w:right w:val="none" w:sz="0" w:space="0" w:color="auto"/>
      </w:divBdr>
    </w:div>
    <w:div w:id="1735548264">
      <w:bodyDiv w:val="1"/>
      <w:marLeft w:val="0"/>
      <w:marRight w:val="0"/>
      <w:marTop w:val="0"/>
      <w:marBottom w:val="0"/>
      <w:divBdr>
        <w:top w:val="none" w:sz="0" w:space="0" w:color="auto"/>
        <w:left w:val="none" w:sz="0" w:space="0" w:color="auto"/>
        <w:bottom w:val="none" w:sz="0" w:space="0" w:color="auto"/>
        <w:right w:val="none" w:sz="0" w:space="0" w:color="auto"/>
      </w:divBdr>
    </w:div>
    <w:div w:id="1769039758">
      <w:bodyDiv w:val="1"/>
      <w:marLeft w:val="0"/>
      <w:marRight w:val="0"/>
      <w:marTop w:val="0"/>
      <w:marBottom w:val="0"/>
      <w:divBdr>
        <w:top w:val="none" w:sz="0" w:space="0" w:color="auto"/>
        <w:left w:val="none" w:sz="0" w:space="0" w:color="auto"/>
        <w:bottom w:val="none" w:sz="0" w:space="0" w:color="auto"/>
        <w:right w:val="none" w:sz="0" w:space="0" w:color="auto"/>
      </w:divBdr>
    </w:div>
    <w:div w:id="1849251752">
      <w:bodyDiv w:val="1"/>
      <w:marLeft w:val="0"/>
      <w:marRight w:val="0"/>
      <w:marTop w:val="0"/>
      <w:marBottom w:val="0"/>
      <w:divBdr>
        <w:top w:val="none" w:sz="0" w:space="0" w:color="auto"/>
        <w:left w:val="none" w:sz="0" w:space="0" w:color="auto"/>
        <w:bottom w:val="none" w:sz="0" w:space="0" w:color="auto"/>
        <w:right w:val="none" w:sz="0" w:space="0" w:color="auto"/>
      </w:divBdr>
    </w:div>
    <w:div w:id="1869248856">
      <w:bodyDiv w:val="1"/>
      <w:marLeft w:val="0"/>
      <w:marRight w:val="0"/>
      <w:marTop w:val="0"/>
      <w:marBottom w:val="0"/>
      <w:divBdr>
        <w:top w:val="none" w:sz="0" w:space="0" w:color="auto"/>
        <w:left w:val="none" w:sz="0" w:space="0" w:color="auto"/>
        <w:bottom w:val="none" w:sz="0" w:space="0" w:color="auto"/>
        <w:right w:val="none" w:sz="0" w:space="0" w:color="auto"/>
      </w:divBdr>
    </w:div>
    <w:div w:id="1875078660">
      <w:bodyDiv w:val="1"/>
      <w:marLeft w:val="0"/>
      <w:marRight w:val="0"/>
      <w:marTop w:val="0"/>
      <w:marBottom w:val="0"/>
      <w:divBdr>
        <w:top w:val="none" w:sz="0" w:space="0" w:color="auto"/>
        <w:left w:val="none" w:sz="0" w:space="0" w:color="auto"/>
        <w:bottom w:val="none" w:sz="0" w:space="0" w:color="auto"/>
        <w:right w:val="none" w:sz="0" w:space="0" w:color="auto"/>
      </w:divBdr>
    </w:div>
    <w:div w:id="1877154232">
      <w:bodyDiv w:val="1"/>
      <w:marLeft w:val="0"/>
      <w:marRight w:val="0"/>
      <w:marTop w:val="0"/>
      <w:marBottom w:val="0"/>
      <w:divBdr>
        <w:top w:val="none" w:sz="0" w:space="0" w:color="auto"/>
        <w:left w:val="none" w:sz="0" w:space="0" w:color="auto"/>
        <w:bottom w:val="none" w:sz="0" w:space="0" w:color="auto"/>
        <w:right w:val="none" w:sz="0" w:space="0" w:color="auto"/>
      </w:divBdr>
    </w:div>
    <w:div w:id="1913006074">
      <w:bodyDiv w:val="1"/>
      <w:marLeft w:val="0"/>
      <w:marRight w:val="0"/>
      <w:marTop w:val="0"/>
      <w:marBottom w:val="0"/>
      <w:divBdr>
        <w:top w:val="none" w:sz="0" w:space="0" w:color="auto"/>
        <w:left w:val="none" w:sz="0" w:space="0" w:color="auto"/>
        <w:bottom w:val="none" w:sz="0" w:space="0" w:color="auto"/>
        <w:right w:val="none" w:sz="0" w:space="0" w:color="auto"/>
      </w:divBdr>
    </w:div>
    <w:div w:id="1954246195">
      <w:bodyDiv w:val="1"/>
      <w:marLeft w:val="0"/>
      <w:marRight w:val="0"/>
      <w:marTop w:val="0"/>
      <w:marBottom w:val="0"/>
      <w:divBdr>
        <w:top w:val="none" w:sz="0" w:space="0" w:color="auto"/>
        <w:left w:val="none" w:sz="0" w:space="0" w:color="auto"/>
        <w:bottom w:val="none" w:sz="0" w:space="0" w:color="auto"/>
        <w:right w:val="none" w:sz="0" w:space="0" w:color="auto"/>
      </w:divBdr>
    </w:div>
    <w:div w:id="1961105338">
      <w:bodyDiv w:val="1"/>
      <w:marLeft w:val="0"/>
      <w:marRight w:val="0"/>
      <w:marTop w:val="0"/>
      <w:marBottom w:val="0"/>
      <w:divBdr>
        <w:top w:val="none" w:sz="0" w:space="0" w:color="auto"/>
        <w:left w:val="none" w:sz="0" w:space="0" w:color="auto"/>
        <w:bottom w:val="none" w:sz="0" w:space="0" w:color="auto"/>
        <w:right w:val="none" w:sz="0" w:space="0" w:color="auto"/>
      </w:divBdr>
    </w:div>
    <w:div w:id="1988898337">
      <w:bodyDiv w:val="1"/>
      <w:marLeft w:val="0"/>
      <w:marRight w:val="0"/>
      <w:marTop w:val="0"/>
      <w:marBottom w:val="0"/>
      <w:divBdr>
        <w:top w:val="none" w:sz="0" w:space="0" w:color="auto"/>
        <w:left w:val="none" w:sz="0" w:space="0" w:color="auto"/>
        <w:bottom w:val="none" w:sz="0" w:space="0" w:color="auto"/>
        <w:right w:val="none" w:sz="0" w:space="0" w:color="auto"/>
      </w:divBdr>
    </w:div>
    <w:div w:id="2005815641">
      <w:bodyDiv w:val="1"/>
      <w:marLeft w:val="0"/>
      <w:marRight w:val="0"/>
      <w:marTop w:val="0"/>
      <w:marBottom w:val="0"/>
      <w:divBdr>
        <w:top w:val="none" w:sz="0" w:space="0" w:color="auto"/>
        <w:left w:val="none" w:sz="0" w:space="0" w:color="auto"/>
        <w:bottom w:val="none" w:sz="0" w:space="0" w:color="auto"/>
        <w:right w:val="none" w:sz="0" w:space="0" w:color="auto"/>
      </w:divBdr>
    </w:div>
    <w:div w:id="2007047927">
      <w:bodyDiv w:val="1"/>
      <w:marLeft w:val="0"/>
      <w:marRight w:val="0"/>
      <w:marTop w:val="0"/>
      <w:marBottom w:val="0"/>
      <w:divBdr>
        <w:top w:val="none" w:sz="0" w:space="0" w:color="auto"/>
        <w:left w:val="none" w:sz="0" w:space="0" w:color="auto"/>
        <w:bottom w:val="none" w:sz="0" w:space="0" w:color="auto"/>
        <w:right w:val="none" w:sz="0" w:space="0" w:color="auto"/>
      </w:divBdr>
    </w:div>
    <w:div w:id="20729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2BAB1-D499-4A5C-9DF7-B77EFAEE9696}"/>
</file>

<file path=customXml/itemProps2.xml><?xml version="1.0" encoding="utf-8"?>
<ds:datastoreItem xmlns:ds="http://schemas.openxmlformats.org/officeDocument/2006/customXml" ds:itemID="{4455775D-00A5-4009-A6F5-773984D7684E}"/>
</file>

<file path=customXml/itemProps3.xml><?xml version="1.0" encoding="utf-8"?>
<ds:datastoreItem xmlns:ds="http://schemas.openxmlformats.org/officeDocument/2006/customXml" ds:itemID="{BEE2B662-96F7-4F97-8E9A-03559F567C4A}"/>
</file>

<file path=customXml/itemProps4.xml><?xml version="1.0" encoding="utf-8"?>
<ds:datastoreItem xmlns:ds="http://schemas.openxmlformats.org/officeDocument/2006/customXml" ds:itemID="{B29825C5-DDF3-455A-BE28-4923CB92736E}"/>
</file>

<file path=docProps/app.xml><?xml version="1.0" encoding="utf-8"?>
<Properties xmlns="http://schemas.openxmlformats.org/officeDocument/2006/extended-properties" xmlns:vt="http://schemas.openxmlformats.org/officeDocument/2006/docPropsVTypes">
  <Template>Normal</Template>
  <TotalTime>2346</TotalTime>
  <Pages>13</Pages>
  <Words>4539</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CHUC CHINH QUYEN</dc:creator>
  <cp:lastModifiedBy>HoLeTrung</cp:lastModifiedBy>
  <cp:revision>154</cp:revision>
  <cp:lastPrinted>2022-08-18T04:11:00Z</cp:lastPrinted>
  <dcterms:created xsi:type="dcterms:W3CDTF">2022-07-07T07:47:00Z</dcterms:created>
  <dcterms:modified xsi:type="dcterms:W3CDTF">2022-08-18T08:09:00Z</dcterms:modified>
</cp:coreProperties>
</file>