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51" w:type="dxa"/>
        <w:tblInd w:w="-34" w:type="dxa"/>
        <w:tblLayout w:type="fixed"/>
        <w:tblLook w:val="0000" w:firstRow="0" w:lastRow="0" w:firstColumn="0" w:lastColumn="0" w:noHBand="0" w:noVBand="0"/>
      </w:tblPr>
      <w:tblGrid>
        <w:gridCol w:w="7122"/>
        <w:gridCol w:w="7229"/>
      </w:tblGrid>
      <w:tr w:rsidR="00135B8A" w:rsidRPr="008C44BD" w:rsidTr="00135B8A">
        <w:tc>
          <w:tcPr>
            <w:tcW w:w="7122" w:type="dxa"/>
          </w:tcPr>
          <w:p w:rsidR="00135B8A" w:rsidRPr="008C44BD" w:rsidRDefault="00135B8A" w:rsidP="00883AE2">
            <w:pPr>
              <w:tabs>
                <w:tab w:val="center" w:pos="1843"/>
                <w:tab w:val="center" w:pos="6237"/>
              </w:tabs>
              <w:spacing w:before="60"/>
              <w:jc w:val="center"/>
            </w:pPr>
            <w:r w:rsidRPr="008C44BD">
              <w:t xml:space="preserve">UBND </w:t>
            </w:r>
            <w:r w:rsidR="003662A6">
              <w:t>THÀNH PHỐ</w:t>
            </w:r>
            <w:r w:rsidRPr="008C44BD">
              <w:t xml:space="preserve"> ĐỒNG NAI</w:t>
            </w:r>
          </w:p>
          <w:p w:rsidR="00135B8A" w:rsidRPr="008C44BD" w:rsidRDefault="00135B8A" w:rsidP="00883AE2">
            <w:pPr>
              <w:tabs>
                <w:tab w:val="center" w:pos="1843"/>
                <w:tab w:val="center" w:pos="6237"/>
              </w:tabs>
              <w:jc w:val="center"/>
            </w:pPr>
            <w:r w:rsidRPr="008C44BD">
              <w:rPr>
                <w:b/>
              </w:rPr>
              <w:t>SỞ TÀI CHÍNH</w:t>
            </w:r>
          </w:p>
          <w:p w:rsidR="00135B8A" w:rsidRPr="008C44BD" w:rsidRDefault="00135B8A" w:rsidP="00883AE2">
            <w:pPr>
              <w:tabs>
                <w:tab w:val="center" w:pos="1843"/>
                <w:tab w:val="center" w:pos="6237"/>
              </w:tabs>
              <w:jc w:val="center"/>
            </w:pPr>
            <w:r w:rsidRPr="008C44BD">
              <w:t>–––––––––</w:t>
            </w:r>
          </w:p>
          <w:p w:rsidR="00135B8A" w:rsidRPr="008C44BD" w:rsidRDefault="00135B8A" w:rsidP="00883AE2">
            <w:pPr>
              <w:tabs>
                <w:tab w:val="center" w:pos="1843"/>
                <w:tab w:val="center" w:pos="6237"/>
              </w:tabs>
              <w:jc w:val="center"/>
            </w:pPr>
          </w:p>
        </w:tc>
        <w:tc>
          <w:tcPr>
            <w:tcW w:w="7229" w:type="dxa"/>
          </w:tcPr>
          <w:p w:rsidR="00135B8A" w:rsidRPr="008C44BD" w:rsidRDefault="00135B8A" w:rsidP="00883AE2">
            <w:pPr>
              <w:jc w:val="center"/>
              <w:rPr>
                <w:b/>
              </w:rPr>
            </w:pPr>
            <w:r w:rsidRPr="008C44BD">
              <w:rPr>
                <w:b/>
              </w:rPr>
              <w:t>CỘNG HÒA XÃ HỘI CHỦ NGHĨA VIỆT NAM</w:t>
            </w:r>
          </w:p>
          <w:p w:rsidR="00135B8A" w:rsidRPr="008C44BD" w:rsidRDefault="00135B8A" w:rsidP="00883AE2">
            <w:pPr>
              <w:jc w:val="center"/>
              <w:rPr>
                <w:b/>
              </w:rPr>
            </w:pPr>
            <w:r w:rsidRPr="008C44BD">
              <w:rPr>
                <w:b/>
              </w:rPr>
              <w:t>Độc lập - Tự do - Hạnh phúc</w:t>
            </w:r>
          </w:p>
          <w:p w:rsidR="00135B8A" w:rsidRPr="008C44BD" w:rsidRDefault="00135B8A" w:rsidP="00883AE2">
            <w:pPr>
              <w:tabs>
                <w:tab w:val="center" w:pos="1843"/>
                <w:tab w:val="center" w:pos="6237"/>
              </w:tabs>
              <w:jc w:val="center"/>
              <w:rPr>
                <w:b/>
              </w:rPr>
            </w:pPr>
            <w:r w:rsidRPr="008C44BD">
              <w:t>––––––––––––––––––</w:t>
            </w:r>
          </w:p>
          <w:p w:rsidR="00135B8A" w:rsidRPr="008C44BD" w:rsidRDefault="00135B8A" w:rsidP="00114568">
            <w:pPr>
              <w:tabs>
                <w:tab w:val="center" w:pos="1843"/>
                <w:tab w:val="center" w:pos="6237"/>
              </w:tabs>
              <w:spacing w:before="60" w:after="60"/>
              <w:jc w:val="center"/>
              <w:rPr>
                <w:b/>
              </w:rPr>
            </w:pPr>
            <w:r w:rsidRPr="008C44BD">
              <w:rPr>
                <w:b/>
              </w:rPr>
              <w:softHyphen/>
            </w:r>
            <w:r w:rsidRPr="008C44BD">
              <w:rPr>
                <w:b/>
              </w:rPr>
              <w:softHyphen/>
            </w:r>
            <w:r w:rsidRPr="008C44BD">
              <w:rPr>
                <w:i/>
              </w:rPr>
              <w:t xml:space="preserve">Đồng Nai, ngày  </w:t>
            </w:r>
            <w:r w:rsidR="00114568">
              <w:rPr>
                <w:i/>
              </w:rPr>
              <w:t xml:space="preserve">    </w:t>
            </w:r>
            <w:r w:rsidRPr="008C44BD">
              <w:rPr>
                <w:i/>
              </w:rPr>
              <w:t xml:space="preserve">tháng </w:t>
            </w:r>
            <w:r w:rsidR="00114568">
              <w:rPr>
                <w:i/>
              </w:rPr>
              <w:t xml:space="preserve">      </w:t>
            </w:r>
            <w:r w:rsidRPr="008C44BD">
              <w:rPr>
                <w:i/>
              </w:rPr>
              <w:t>năm 202</w:t>
            </w:r>
            <w:r w:rsidR="00114568">
              <w:rPr>
                <w:i/>
              </w:rPr>
              <w:t>6</w:t>
            </w:r>
          </w:p>
        </w:tc>
      </w:tr>
    </w:tbl>
    <w:p w:rsidR="00D86025" w:rsidRPr="00135B8A" w:rsidRDefault="00135B8A" w:rsidP="00135B8A">
      <w:pPr>
        <w:tabs>
          <w:tab w:val="center" w:pos="1843"/>
          <w:tab w:val="center" w:pos="6237"/>
        </w:tabs>
        <w:spacing w:before="360" w:after="240"/>
        <w:jc w:val="center"/>
        <w:rPr>
          <w:b/>
        </w:rPr>
      </w:pPr>
      <w:r w:rsidRPr="00135B8A">
        <w:rPr>
          <w:b/>
        </w:rPr>
        <w:t xml:space="preserve">BẢN SO SÁNH, THUYẾT MINH NỘI DUNG DỰ THẢO QUYẾT ĐỊNH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w:t>
      </w:r>
      <w:r w:rsidR="00114568">
        <w:rPr>
          <w:b/>
        </w:rPr>
        <w:t>THÀNH PHỐ</w:t>
      </w:r>
      <w:r w:rsidRPr="00135B8A">
        <w:rPr>
          <w:b/>
        </w:rPr>
        <w:t xml:space="preserve"> ĐỒNG NAI</w:t>
      </w:r>
    </w:p>
    <w:tbl>
      <w:tblPr>
        <w:tblStyle w:val="TableGrid"/>
        <w:tblW w:w="5000" w:type="pct"/>
        <w:tblLook w:val="04A0" w:firstRow="1" w:lastRow="0" w:firstColumn="1" w:lastColumn="0" w:noHBand="0" w:noVBand="1"/>
      </w:tblPr>
      <w:tblGrid>
        <w:gridCol w:w="632"/>
        <w:gridCol w:w="1114"/>
        <w:gridCol w:w="2467"/>
        <w:gridCol w:w="1733"/>
        <w:gridCol w:w="3402"/>
        <w:gridCol w:w="3140"/>
        <w:gridCol w:w="2074"/>
      </w:tblGrid>
      <w:tr w:rsidR="009B1765" w:rsidRPr="00135B8A" w:rsidTr="00904760">
        <w:trPr>
          <w:tblHeader/>
        </w:trPr>
        <w:tc>
          <w:tcPr>
            <w:tcW w:w="217" w:type="pct"/>
            <w:vAlign w:val="center"/>
          </w:tcPr>
          <w:p w:rsidR="003662A6" w:rsidRPr="00135B8A" w:rsidRDefault="003662A6" w:rsidP="00114568">
            <w:pPr>
              <w:tabs>
                <w:tab w:val="center" w:pos="1843"/>
                <w:tab w:val="center" w:pos="6237"/>
              </w:tabs>
              <w:spacing w:before="60" w:after="60"/>
              <w:jc w:val="center"/>
              <w:rPr>
                <w:b/>
                <w:sz w:val="22"/>
                <w:szCs w:val="22"/>
              </w:rPr>
            </w:pPr>
            <w:r w:rsidRPr="00135B8A">
              <w:rPr>
                <w:b/>
                <w:sz w:val="22"/>
                <w:szCs w:val="22"/>
              </w:rPr>
              <w:t>STT</w:t>
            </w:r>
          </w:p>
        </w:tc>
        <w:tc>
          <w:tcPr>
            <w:tcW w:w="383" w:type="pct"/>
            <w:vAlign w:val="center"/>
          </w:tcPr>
          <w:p w:rsidR="003662A6" w:rsidRPr="00135B8A" w:rsidRDefault="003662A6" w:rsidP="00114568">
            <w:pPr>
              <w:tabs>
                <w:tab w:val="center" w:pos="1843"/>
                <w:tab w:val="center" w:pos="6237"/>
              </w:tabs>
              <w:spacing w:before="60" w:after="60"/>
              <w:jc w:val="center"/>
              <w:rPr>
                <w:b/>
                <w:sz w:val="22"/>
                <w:szCs w:val="22"/>
              </w:rPr>
            </w:pPr>
            <w:r w:rsidRPr="00135B8A">
              <w:rPr>
                <w:b/>
                <w:sz w:val="22"/>
                <w:szCs w:val="22"/>
              </w:rPr>
              <w:t>Nhóm đất</w:t>
            </w:r>
          </w:p>
        </w:tc>
        <w:tc>
          <w:tcPr>
            <w:tcW w:w="847" w:type="pct"/>
          </w:tcPr>
          <w:p w:rsidR="003662A6" w:rsidRDefault="003662A6" w:rsidP="00114568">
            <w:pPr>
              <w:tabs>
                <w:tab w:val="center" w:pos="1843"/>
                <w:tab w:val="center" w:pos="6237"/>
              </w:tabs>
              <w:spacing w:before="60" w:after="60"/>
              <w:jc w:val="center"/>
              <w:rPr>
                <w:b/>
                <w:sz w:val="22"/>
                <w:szCs w:val="22"/>
              </w:rPr>
            </w:pPr>
            <w:r>
              <w:rPr>
                <w:b/>
                <w:sz w:val="22"/>
                <w:szCs w:val="22"/>
              </w:rPr>
              <w:t>Nghị định số 103/2024</w:t>
            </w:r>
            <w:r w:rsidRPr="00135B8A">
              <w:rPr>
                <w:b/>
                <w:sz w:val="22"/>
                <w:szCs w:val="22"/>
              </w:rPr>
              <w:t>/NĐ-CP</w:t>
            </w:r>
          </w:p>
        </w:tc>
        <w:tc>
          <w:tcPr>
            <w:tcW w:w="595" w:type="pct"/>
            <w:vAlign w:val="center"/>
          </w:tcPr>
          <w:p w:rsidR="003662A6" w:rsidRPr="00135B8A" w:rsidRDefault="003662A6" w:rsidP="00114568">
            <w:pPr>
              <w:tabs>
                <w:tab w:val="center" w:pos="1843"/>
                <w:tab w:val="center" w:pos="6237"/>
              </w:tabs>
              <w:spacing w:before="60" w:after="60"/>
              <w:jc w:val="center"/>
              <w:rPr>
                <w:b/>
                <w:sz w:val="22"/>
                <w:szCs w:val="22"/>
              </w:rPr>
            </w:pPr>
            <w:r>
              <w:rPr>
                <w:b/>
                <w:sz w:val="22"/>
                <w:szCs w:val="22"/>
              </w:rPr>
              <w:t>Nghị định số 50/2026</w:t>
            </w:r>
            <w:r w:rsidRPr="00135B8A">
              <w:rPr>
                <w:b/>
                <w:sz w:val="22"/>
                <w:szCs w:val="22"/>
              </w:rPr>
              <w:t>/NĐ-CP</w:t>
            </w:r>
          </w:p>
        </w:tc>
        <w:tc>
          <w:tcPr>
            <w:tcW w:w="1168" w:type="pct"/>
            <w:vAlign w:val="center"/>
          </w:tcPr>
          <w:p w:rsidR="003662A6" w:rsidRPr="00135B8A" w:rsidRDefault="003662A6" w:rsidP="00114568">
            <w:pPr>
              <w:tabs>
                <w:tab w:val="center" w:pos="1843"/>
                <w:tab w:val="center" w:pos="6237"/>
              </w:tabs>
              <w:spacing w:before="60" w:after="60"/>
              <w:jc w:val="center"/>
              <w:rPr>
                <w:b/>
                <w:sz w:val="22"/>
                <w:szCs w:val="22"/>
              </w:rPr>
            </w:pPr>
            <w:r>
              <w:rPr>
                <w:b/>
                <w:sz w:val="22"/>
                <w:szCs w:val="22"/>
              </w:rPr>
              <w:t>Quyết định số 53/2025</w:t>
            </w:r>
            <w:r w:rsidRPr="00135B8A">
              <w:rPr>
                <w:b/>
                <w:sz w:val="22"/>
                <w:szCs w:val="22"/>
              </w:rPr>
              <w:t>/QĐ-UBND của UBND tỉnh Đồng Nai</w:t>
            </w:r>
          </w:p>
        </w:tc>
        <w:tc>
          <w:tcPr>
            <w:tcW w:w="1078" w:type="pct"/>
            <w:vAlign w:val="center"/>
          </w:tcPr>
          <w:p w:rsidR="003662A6" w:rsidRPr="00135B8A" w:rsidRDefault="003662A6" w:rsidP="00114568">
            <w:pPr>
              <w:tabs>
                <w:tab w:val="center" w:pos="1843"/>
                <w:tab w:val="center" w:pos="6237"/>
              </w:tabs>
              <w:spacing w:before="60" w:after="60"/>
              <w:jc w:val="center"/>
              <w:rPr>
                <w:b/>
                <w:sz w:val="22"/>
                <w:szCs w:val="22"/>
              </w:rPr>
            </w:pPr>
            <w:r w:rsidRPr="00135B8A">
              <w:rPr>
                <w:b/>
                <w:sz w:val="22"/>
                <w:szCs w:val="22"/>
              </w:rPr>
              <w:t>Dự thảo Quyết định</w:t>
            </w:r>
          </w:p>
        </w:tc>
        <w:tc>
          <w:tcPr>
            <w:tcW w:w="711" w:type="pct"/>
            <w:vAlign w:val="center"/>
          </w:tcPr>
          <w:p w:rsidR="003662A6" w:rsidRPr="00135B8A" w:rsidRDefault="003662A6" w:rsidP="00114568">
            <w:pPr>
              <w:tabs>
                <w:tab w:val="center" w:pos="1843"/>
                <w:tab w:val="center" w:pos="6237"/>
              </w:tabs>
              <w:spacing w:before="60" w:after="60"/>
              <w:jc w:val="center"/>
              <w:rPr>
                <w:b/>
                <w:sz w:val="22"/>
                <w:szCs w:val="22"/>
              </w:rPr>
            </w:pPr>
            <w:r>
              <w:rPr>
                <w:b/>
                <w:sz w:val="22"/>
                <w:szCs w:val="22"/>
              </w:rPr>
              <w:t>Thuyết minh</w:t>
            </w:r>
          </w:p>
        </w:tc>
      </w:tr>
      <w:tr w:rsidR="003662A6" w:rsidRPr="00135B8A" w:rsidTr="00904760">
        <w:trPr>
          <w:tblHeader/>
        </w:trPr>
        <w:tc>
          <w:tcPr>
            <w:tcW w:w="217" w:type="pct"/>
            <w:vAlign w:val="center"/>
          </w:tcPr>
          <w:p w:rsidR="003662A6" w:rsidRPr="00135B8A" w:rsidRDefault="003662A6" w:rsidP="00114568">
            <w:pPr>
              <w:tabs>
                <w:tab w:val="center" w:pos="1843"/>
                <w:tab w:val="center" w:pos="6237"/>
              </w:tabs>
              <w:spacing w:before="60" w:after="60"/>
              <w:jc w:val="center"/>
              <w:rPr>
                <w:b/>
                <w:sz w:val="22"/>
                <w:szCs w:val="22"/>
              </w:rPr>
            </w:pPr>
            <w:r>
              <w:rPr>
                <w:b/>
                <w:sz w:val="22"/>
                <w:szCs w:val="22"/>
              </w:rPr>
              <w:t>1</w:t>
            </w:r>
          </w:p>
        </w:tc>
        <w:tc>
          <w:tcPr>
            <w:tcW w:w="4783" w:type="pct"/>
            <w:gridSpan w:val="6"/>
          </w:tcPr>
          <w:p w:rsidR="003662A6" w:rsidRPr="00135B8A" w:rsidRDefault="003662A6" w:rsidP="00114568">
            <w:pPr>
              <w:tabs>
                <w:tab w:val="center" w:pos="1843"/>
                <w:tab w:val="center" w:pos="6237"/>
              </w:tabs>
              <w:spacing w:before="60" w:after="60"/>
              <w:rPr>
                <w:b/>
                <w:sz w:val="22"/>
                <w:szCs w:val="22"/>
              </w:rPr>
            </w:pPr>
            <w:r w:rsidRPr="00135B8A">
              <w:rPr>
                <w:b/>
                <w:sz w:val="22"/>
                <w:szCs w:val="22"/>
              </w:rPr>
              <w:t>TỶ LỆ PHẦN TRĂM (%) ĐỂ TÍNH ĐƠN GIÁ THUÊ ĐẤT ĐỐI VỚI TRƯỜNG HỢP THUÊ ĐẤT TRẢ TIỀN HÀNG NĂM KHÔNG THÔNG QUA HÌNH THỨC ĐẤU GIÁ</w:t>
            </w:r>
          </w:p>
        </w:tc>
      </w:tr>
      <w:tr w:rsidR="009B1765" w:rsidRPr="00135B8A" w:rsidTr="00904760">
        <w:tc>
          <w:tcPr>
            <w:tcW w:w="217" w:type="pct"/>
            <w:vAlign w:val="center"/>
          </w:tcPr>
          <w:p w:rsidR="003662A6" w:rsidRPr="00135B8A" w:rsidRDefault="003662A6" w:rsidP="00114568">
            <w:pPr>
              <w:tabs>
                <w:tab w:val="center" w:pos="1843"/>
                <w:tab w:val="center" w:pos="6237"/>
              </w:tabs>
              <w:spacing w:before="60" w:after="60"/>
              <w:jc w:val="center"/>
              <w:rPr>
                <w:sz w:val="22"/>
                <w:szCs w:val="22"/>
              </w:rPr>
            </w:pPr>
            <w:r w:rsidRPr="00135B8A">
              <w:rPr>
                <w:sz w:val="22"/>
                <w:szCs w:val="22"/>
              </w:rPr>
              <w:t>a</w:t>
            </w:r>
          </w:p>
        </w:tc>
        <w:tc>
          <w:tcPr>
            <w:tcW w:w="383" w:type="pct"/>
            <w:vAlign w:val="center"/>
          </w:tcPr>
          <w:p w:rsidR="003662A6" w:rsidRPr="00135B8A" w:rsidRDefault="003662A6" w:rsidP="003662A6">
            <w:pPr>
              <w:tabs>
                <w:tab w:val="center" w:pos="1843"/>
                <w:tab w:val="center" w:pos="6237"/>
              </w:tabs>
              <w:spacing w:before="120" w:after="120"/>
              <w:jc w:val="both"/>
              <w:rPr>
                <w:sz w:val="22"/>
                <w:szCs w:val="22"/>
              </w:rPr>
            </w:pPr>
            <w:r w:rsidRPr="00135B8A">
              <w:rPr>
                <w:sz w:val="22"/>
                <w:szCs w:val="22"/>
              </w:rPr>
              <w:t>Nhóm đất phi nông nghiệp</w:t>
            </w:r>
          </w:p>
        </w:tc>
        <w:tc>
          <w:tcPr>
            <w:tcW w:w="847" w:type="pct"/>
          </w:tcPr>
          <w:p w:rsidR="003662A6" w:rsidRDefault="003662A6" w:rsidP="003662A6">
            <w:pPr>
              <w:tabs>
                <w:tab w:val="center" w:pos="1843"/>
                <w:tab w:val="center" w:pos="6237"/>
              </w:tabs>
              <w:spacing w:before="120" w:after="120"/>
              <w:jc w:val="both"/>
              <w:rPr>
                <w:sz w:val="22"/>
                <w:szCs w:val="22"/>
              </w:rPr>
            </w:pPr>
          </w:p>
          <w:p w:rsidR="003662A6" w:rsidRDefault="003662A6" w:rsidP="003662A6">
            <w:pPr>
              <w:tabs>
                <w:tab w:val="center" w:pos="1843"/>
                <w:tab w:val="center" w:pos="6237"/>
              </w:tabs>
              <w:spacing w:before="120" w:after="120"/>
              <w:jc w:val="both"/>
              <w:rPr>
                <w:sz w:val="22"/>
                <w:szCs w:val="22"/>
              </w:rPr>
            </w:pPr>
          </w:p>
          <w:p w:rsidR="003662A6" w:rsidRDefault="003662A6" w:rsidP="003662A6">
            <w:pPr>
              <w:tabs>
                <w:tab w:val="center" w:pos="1843"/>
                <w:tab w:val="center" w:pos="6237"/>
              </w:tabs>
              <w:spacing w:before="120" w:after="120"/>
              <w:jc w:val="both"/>
              <w:rPr>
                <w:sz w:val="22"/>
                <w:szCs w:val="22"/>
              </w:rPr>
            </w:pPr>
          </w:p>
          <w:p w:rsidR="003662A6" w:rsidRDefault="003662A6" w:rsidP="003662A6">
            <w:pPr>
              <w:tabs>
                <w:tab w:val="center" w:pos="1843"/>
                <w:tab w:val="center" w:pos="6237"/>
              </w:tabs>
              <w:spacing w:before="120" w:after="120"/>
              <w:jc w:val="both"/>
              <w:rPr>
                <w:sz w:val="22"/>
                <w:szCs w:val="22"/>
              </w:rPr>
            </w:pPr>
          </w:p>
          <w:p w:rsidR="003662A6" w:rsidRDefault="003662A6" w:rsidP="003662A6">
            <w:pPr>
              <w:tabs>
                <w:tab w:val="center" w:pos="1843"/>
                <w:tab w:val="center" w:pos="6237"/>
              </w:tabs>
              <w:spacing w:before="120" w:after="120"/>
              <w:jc w:val="both"/>
              <w:rPr>
                <w:sz w:val="22"/>
                <w:szCs w:val="22"/>
              </w:rPr>
            </w:pPr>
          </w:p>
          <w:p w:rsidR="003662A6" w:rsidRDefault="003662A6" w:rsidP="003662A6">
            <w:pPr>
              <w:tabs>
                <w:tab w:val="center" w:pos="1843"/>
                <w:tab w:val="center" w:pos="6237"/>
              </w:tabs>
              <w:spacing w:before="120" w:after="120"/>
              <w:jc w:val="both"/>
              <w:rPr>
                <w:sz w:val="22"/>
                <w:szCs w:val="22"/>
              </w:rPr>
            </w:pPr>
          </w:p>
          <w:p w:rsidR="003662A6" w:rsidRPr="009E06D9" w:rsidRDefault="003662A6" w:rsidP="003662A6">
            <w:pPr>
              <w:tabs>
                <w:tab w:val="center" w:pos="1843"/>
                <w:tab w:val="center" w:pos="6237"/>
              </w:tabs>
              <w:spacing w:before="120" w:after="120"/>
              <w:jc w:val="both"/>
              <w:rPr>
                <w:sz w:val="22"/>
                <w:szCs w:val="22"/>
              </w:rPr>
            </w:pPr>
            <w:r w:rsidRPr="009E06D9">
              <w:rPr>
                <w:sz w:val="22"/>
                <w:szCs w:val="22"/>
              </w:rPr>
              <w:t>Tỷ lệ phần trăm (%) tính đơn giá thuê đất một năm là từ 0,25% đến 3%</w:t>
            </w:r>
          </w:p>
        </w:tc>
        <w:tc>
          <w:tcPr>
            <w:tcW w:w="595" w:type="pct"/>
            <w:vMerge w:val="restart"/>
            <w:vAlign w:val="center"/>
          </w:tcPr>
          <w:p w:rsidR="003662A6" w:rsidRPr="00135B8A" w:rsidRDefault="003662A6" w:rsidP="003662A6">
            <w:pPr>
              <w:tabs>
                <w:tab w:val="center" w:pos="1843"/>
                <w:tab w:val="center" w:pos="6237"/>
              </w:tabs>
              <w:spacing w:before="120" w:after="120"/>
              <w:jc w:val="both"/>
              <w:rPr>
                <w:sz w:val="22"/>
                <w:szCs w:val="22"/>
              </w:rPr>
            </w:pPr>
            <w:r w:rsidRPr="009E06D9">
              <w:rPr>
                <w:sz w:val="22"/>
                <w:szCs w:val="22"/>
              </w:rPr>
              <w:t>Tỷ lệ phần trăm (%) tính đơn giá thuê đất một năm là từ 0,25% đến 3%</w:t>
            </w:r>
          </w:p>
        </w:tc>
        <w:tc>
          <w:tcPr>
            <w:tcW w:w="1168" w:type="pct"/>
            <w:vAlign w:val="center"/>
          </w:tcPr>
          <w:p w:rsidR="003662A6" w:rsidRPr="00540FEA" w:rsidRDefault="003662A6" w:rsidP="009B1765">
            <w:pPr>
              <w:tabs>
                <w:tab w:val="center" w:pos="1843"/>
                <w:tab w:val="center" w:pos="6237"/>
              </w:tabs>
              <w:jc w:val="both"/>
              <w:rPr>
                <w:sz w:val="22"/>
                <w:szCs w:val="22"/>
              </w:rPr>
            </w:pPr>
            <w:r w:rsidRPr="00540FEA">
              <w:rPr>
                <w:sz w:val="22"/>
                <w:szCs w:val="22"/>
              </w:rPr>
              <w:t>1. Tỷ lệ phần trăm (%) tính đơn giá thuê đất một năm đối với nhóm đất phi nông nghiệp:</w:t>
            </w:r>
          </w:p>
          <w:p w:rsidR="003662A6" w:rsidRPr="00540FEA" w:rsidRDefault="003662A6" w:rsidP="009B1765">
            <w:pPr>
              <w:tabs>
                <w:tab w:val="center" w:pos="1843"/>
                <w:tab w:val="center" w:pos="6237"/>
              </w:tabs>
              <w:jc w:val="both"/>
              <w:rPr>
                <w:sz w:val="22"/>
                <w:szCs w:val="22"/>
              </w:rPr>
            </w:pPr>
            <w:r w:rsidRPr="00540FEA">
              <w:rPr>
                <w:sz w:val="22"/>
                <w:szCs w:val="22"/>
              </w:rPr>
              <w:t>a) Các phường thuộc tỉnh Đồng Nai là 1,25%.</w:t>
            </w:r>
          </w:p>
          <w:p w:rsidR="003662A6" w:rsidRPr="00540FEA" w:rsidRDefault="003662A6" w:rsidP="009B1765">
            <w:pPr>
              <w:tabs>
                <w:tab w:val="center" w:pos="1843"/>
                <w:tab w:val="center" w:pos="6237"/>
              </w:tabs>
              <w:jc w:val="both"/>
              <w:rPr>
                <w:sz w:val="22"/>
                <w:szCs w:val="22"/>
              </w:rPr>
            </w:pPr>
            <w:r w:rsidRPr="00540FEA">
              <w:rPr>
                <w:sz w:val="22"/>
                <w:szCs w:val="22"/>
              </w:rPr>
              <w:t>b) Các xã thuộc tỉnh Đồng Nai là 1%.</w:t>
            </w:r>
          </w:p>
          <w:p w:rsidR="003662A6" w:rsidRDefault="003662A6" w:rsidP="009B1765">
            <w:pPr>
              <w:tabs>
                <w:tab w:val="center" w:pos="1843"/>
                <w:tab w:val="center" w:pos="6237"/>
              </w:tabs>
              <w:jc w:val="both"/>
              <w:rPr>
                <w:sz w:val="22"/>
                <w:szCs w:val="22"/>
              </w:rPr>
            </w:pPr>
            <w:r w:rsidRPr="00540FEA">
              <w:rPr>
                <w:sz w:val="22"/>
                <w:szCs w:val="22"/>
              </w:rPr>
              <w:t>c) Các xã thuộc vùng đồng bào dân tộc thiểu số và miền núi, địa bàn (vùng) có điều kiện kinh tế - xã hội đặc biệt khó khăn, địa bàn (vùng) có điều kiện kinh tế - xã hội khó khăn là 0,75%.</w:t>
            </w:r>
          </w:p>
          <w:p w:rsidR="003662A6" w:rsidRPr="00540FEA" w:rsidRDefault="003662A6" w:rsidP="009B1765">
            <w:pPr>
              <w:tabs>
                <w:tab w:val="left" w:pos="2160"/>
                <w:tab w:val="left" w:pos="3119"/>
              </w:tabs>
              <w:jc w:val="both"/>
              <w:rPr>
                <w:sz w:val="22"/>
                <w:szCs w:val="22"/>
              </w:rPr>
            </w:pPr>
            <w:r w:rsidRPr="00114568">
              <w:rPr>
                <w:sz w:val="22"/>
                <w:szCs w:val="22"/>
              </w:rPr>
              <w:t xml:space="preserve">Vùng đồng bào dân tộc thiểu số và miền núi, địa bàn (vùng) có điều kiện kinh tế - xã hội đặc biệt khó khăn, địa bàn (vùng) có điều kiện kinh tế - xã hội khó khăn theo quy định hoặc quyết định của Chính phủ, Thủ tướng Chính phủ hoặc của cơ quan, người được Chính phủ, Thủ </w:t>
            </w:r>
            <w:r w:rsidRPr="00114568">
              <w:rPr>
                <w:sz w:val="22"/>
                <w:szCs w:val="22"/>
              </w:rPr>
              <w:lastRenderedPageBreak/>
              <w:t>tướng Chính phủ giao, phân cấp, ủy quyền.</w:t>
            </w:r>
          </w:p>
          <w:p w:rsidR="003662A6" w:rsidRPr="00135B8A" w:rsidRDefault="003662A6" w:rsidP="009B1765">
            <w:pPr>
              <w:tabs>
                <w:tab w:val="center" w:pos="1843"/>
                <w:tab w:val="center" w:pos="6237"/>
              </w:tabs>
              <w:jc w:val="both"/>
              <w:rPr>
                <w:sz w:val="22"/>
                <w:szCs w:val="22"/>
              </w:rPr>
            </w:pPr>
            <w:r w:rsidRPr="00540FEA">
              <w:rPr>
                <w:sz w:val="22"/>
                <w:szCs w:val="22"/>
              </w:rPr>
              <w:t xml:space="preserve">d) Đất </w:t>
            </w:r>
            <w:r>
              <w:rPr>
                <w:sz w:val="22"/>
                <w:szCs w:val="22"/>
              </w:rPr>
              <w:t>thực hiện</w:t>
            </w:r>
            <w:r w:rsidRPr="00540FEA">
              <w:rPr>
                <w:sz w:val="22"/>
                <w:szCs w:val="22"/>
              </w:rPr>
              <w:t xml:space="preserve"> dự án đầu tư thuộc ngành, nghề ưu đãi đầu tư hoặc ngành, nghề đặc biệt ưu đãi đầu tư là 0,5% (không phân biệt khu vực xã, phường).</w:t>
            </w:r>
          </w:p>
        </w:tc>
        <w:tc>
          <w:tcPr>
            <w:tcW w:w="1078" w:type="pct"/>
            <w:vAlign w:val="center"/>
          </w:tcPr>
          <w:p w:rsidR="003662A6" w:rsidRPr="000834DD" w:rsidRDefault="003662A6" w:rsidP="000834DD">
            <w:pPr>
              <w:tabs>
                <w:tab w:val="center" w:pos="1843"/>
                <w:tab w:val="center" w:pos="6237"/>
              </w:tabs>
              <w:jc w:val="both"/>
              <w:rPr>
                <w:sz w:val="22"/>
                <w:szCs w:val="22"/>
              </w:rPr>
            </w:pPr>
            <w:r w:rsidRPr="000834DD">
              <w:rPr>
                <w:sz w:val="22"/>
                <w:szCs w:val="22"/>
              </w:rPr>
              <w:lastRenderedPageBreak/>
              <w:t>1. Tỷ lệ phần trăm (%) tính đơn giá thuê đất một năm đối với nhóm đất phi nông nghiệp:</w:t>
            </w:r>
          </w:p>
          <w:p w:rsidR="003662A6" w:rsidRPr="000834DD" w:rsidRDefault="003662A6" w:rsidP="000834DD">
            <w:pPr>
              <w:tabs>
                <w:tab w:val="center" w:pos="1843"/>
                <w:tab w:val="center" w:pos="6237"/>
              </w:tabs>
              <w:jc w:val="both"/>
              <w:rPr>
                <w:sz w:val="22"/>
                <w:szCs w:val="22"/>
              </w:rPr>
            </w:pPr>
            <w:r w:rsidRPr="000834DD">
              <w:rPr>
                <w:sz w:val="22"/>
                <w:szCs w:val="22"/>
              </w:rPr>
              <w:t>a) Các phường thuộc tỉnh Đồng Nai là 1,25%.</w:t>
            </w:r>
          </w:p>
          <w:p w:rsidR="003662A6" w:rsidRPr="000834DD" w:rsidRDefault="003662A6" w:rsidP="000834DD">
            <w:pPr>
              <w:tabs>
                <w:tab w:val="center" w:pos="1843"/>
                <w:tab w:val="center" w:pos="6237"/>
              </w:tabs>
              <w:jc w:val="both"/>
              <w:rPr>
                <w:sz w:val="22"/>
                <w:szCs w:val="22"/>
              </w:rPr>
            </w:pPr>
            <w:r w:rsidRPr="000834DD">
              <w:rPr>
                <w:sz w:val="22"/>
                <w:szCs w:val="22"/>
              </w:rPr>
              <w:t>b) Các xã thuộc tỉnh Đồng Nai là 1%.</w:t>
            </w:r>
          </w:p>
          <w:p w:rsidR="00904760" w:rsidRPr="000834DD" w:rsidRDefault="00904760" w:rsidP="000834DD">
            <w:pPr>
              <w:tabs>
                <w:tab w:val="center" w:pos="1843"/>
                <w:tab w:val="center" w:pos="6237"/>
              </w:tabs>
              <w:jc w:val="both"/>
              <w:rPr>
                <w:sz w:val="22"/>
                <w:szCs w:val="22"/>
              </w:rPr>
            </w:pPr>
            <w:r w:rsidRPr="000834DD">
              <w:rPr>
                <w:sz w:val="22"/>
                <w:szCs w:val="22"/>
              </w:rPr>
              <w:t xml:space="preserve">c) </w:t>
            </w:r>
            <w:r w:rsidR="000834DD" w:rsidRPr="000834DD">
              <w:rPr>
                <w:sz w:val="22"/>
                <w:szCs w:val="22"/>
              </w:rPr>
              <w:t>Các khu đất, thửa đất có quy mô lớn nằm trên nhiều địa bàn có một phần diện tích thuộc xã và một phần diện tích thuộc phường trở lên là</w:t>
            </w:r>
            <w:r w:rsidRPr="000834DD">
              <w:rPr>
                <w:sz w:val="22"/>
                <w:szCs w:val="22"/>
              </w:rPr>
              <w:t>là 1,15%</w:t>
            </w:r>
          </w:p>
          <w:p w:rsidR="003662A6" w:rsidRPr="000834DD" w:rsidRDefault="00904760" w:rsidP="000834DD">
            <w:pPr>
              <w:tabs>
                <w:tab w:val="center" w:pos="1843"/>
                <w:tab w:val="center" w:pos="6237"/>
              </w:tabs>
              <w:jc w:val="both"/>
              <w:rPr>
                <w:sz w:val="22"/>
                <w:szCs w:val="22"/>
              </w:rPr>
            </w:pPr>
            <w:r w:rsidRPr="000834DD">
              <w:rPr>
                <w:sz w:val="22"/>
                <w:szCs w:val="22"/>
              </w:rPr>
              <w:t>d</w:t>
            </w:r>
            <w:r w:rsidR="003662A6" w:rsidRPr="000834DD">
              <w:rPr>
                <w:sz w:val="22"/>
                <w:szCs w:val="22"/>
              </w:rPr>
              <w:t>) Các xã thuộc vùng đồng bào dân tộc thiểu số và miền núi, địa bàn (vùng) có điều kiện kinh tế - xã hội đặc biệt khó khăn, địa bàn (vùng) có điều kiện kinh tế - xã hội khó khăn là 0,75%.</w:t>
            </w:r>
          </w:p>
          <w:p w:rsidR="003662A6" w:rsidRPr="000834DD" w:rsidRDefault="003662A6" w:rsidP="000834DD">
            <w:pPr>
              <w:tabs>
                <w:tab w:val="left" w:pos="2160"/>
                <w:tab w:val="left" w:pos="3119"/>
              </w:tabs>
              <w:jc w:val="both"/>
              <w:rPr>
                <w:sz w:val="22"/>
                <w:szCs w:val="22"/>
              </w:rPr>
            </w:pPr>
            <w:r w:rsidRPr="000834DD">
              <w:rPr>
                <w:sz w:val="22"/>
                <w:szCs w:val="22"/>
              </w:rPr>
              <w:t xml:space="preserve">Vùng đồng bào dân tộc thiểu số và miền núi, địa bàn (vùng) có điều kiện kinh tế - xã hội đặc biệt khó khăn, địa bàn (vùng) có điều </w:t>
            </w:r>
            <w:r w:rsidRPr="000834DD">
              <w:rPr>
                <w:sz w:val="22"/>
                <w:szCs w:val="22"/>
              </w:rPr>
              <w:lastRenderedPageBreak/>
              <w:t>kiện kinh tế - xã hội khó khăn theo quy định hoặc quyết định của Chính phủ, Thủ tướng Chính phủ hoặc của cơ quan, người được Chính phủ, Thủ tướng Chính phủ giao, phân cấp, ủy quyền.</w:t>
            </w:r>
          </w:p>
          <w:p w:rsidR="003662A6" w:rsidRPr="000834DD" w:rsidRDefault="003662A6" w:rsidP="000834DD">
            <w:pPr>
              <w:tabs>
                <w:tab w:val="center" w:pos="1843"/>
                <w:tab w:val="center" w:pos="6237"/>
              </w:tabs>
              <w:jc w:val="both"/>
              <w:rPr>
                <w:sz w:val="22"/>
                <w:szCs w:val="22"/>
              </w:rPr>
            </w:pPr>
            <w:r w:rsidRPr="000834DD">
              <w:rPr>
                <w:sz w:val="22"/>
                <w:szCs w:val="22"/>
              </w:rPr>
              <w:t>d) Đất thực hiện dự án đầu tư thuộc ngành, nghề ưu đãi đầu tư hoặc ngành, nghề đặc biệt ưu đãi đầu tư là 0,5% (không phân biệt khu vực xã, phường).</w:t>
            </w:r>
          </w:p>
        </w:tc>
        <w:tc>
          <w:tcPr>
            <w:tcW w:w="711" w:type="pct"/>
            <w:vAlign w:val="center"/>
          </w:tcPr>
          <w:p w:rsidR="003662A6" w:rsidRDefault="003662A6" w:rsidP="00114568">
            <w:pPr>
              <w:tabs>
                <w:tab w:val="center" w:pos="1843"/>
                <w:tab w:val="center" w:pos="6237"/>
              </w:tabs>
              <w:spacing w:before="60" w:after="60"/>
              <w:jc w:val="both"/>
              <w:rPr>
                <w:sz w:val="22"/>
                <w:szCs w:val="22"/>
              </w:rPr>
            </w:pPr>
            <w:r>
              <w:rPr>
                <w:sz w:val="22"/>
                <w:szCs w:val="22"/>
              </w:rPr>
              <w:lastRenderedPageBreak/>
              <w:t>* Tiếp tục quy định phân rõ giữa Nhóm đất phi nông nghiệp và nông nghiệp.</w:t>
            </w:r>
          </w:p>
          <w:p w:rsidR="003662A6" w:rsidRDefault="003662A6" w:rsidP="00114568">
            <w:pPr>
              <w:tabs>
                <w:tab w:val="center" w:pos="1843"/>
                <w:tab w:val="center" w:pos="6237"/>
              </w:tabs>
              <w:spacing w:before="60" w:after="60"/>
              <w:jc w:val="both"/>
              <w:rPr>
                <w:sz w:val="22"/>
                <w:szCs w:val="22"/>
              </w:rPr>
            </w:pPr>
            <w:r>
              <w:rPr>
                <w:sz w:val="22"/>
                <w:szCs w:val="22"/>
              </w:rPr>
              <w:t>* Phân chia theo địa bàn xã, phường theo mô hình chính quyền địa phương 02 cấp hiện nay;</w:t>
            </w:r>
          </w:p>
          <w:p w:rsidR="003662A6" w:rsidRDefault="003662A6" w:rsidP="00904760">
            <w:pPr>
              <w:tabs>
                <w:tab w:val="center" w:pos="1843"/>
                <w:tab w:val="center" w:pos="6237"/>
              </w:tabs>
              <w:spacing w:before="120"/>
              <w:jc w:val="both"/>
              <w:rPr>
                <w:sz w:val="22"/>
                <w:szCs w:val="22"/>
              </w:rPr>
            </w:pPr>
            <w:r>
              <w:rPr>
                <w:sz w:val="22"/>
                <w:szCs w:val="22"/>
              </w:rPr>
              <w:t>* Tỉ lệ % đối với phường là 1,25% theo tỉ lệ cao nhất đã quy định do sau sắp xếp đơn vị hành chính các phường đều trung tâm của các huyện, thành phố cũ trước sắp xếp, có quy mô dân số, diện tích lớn hơn trước;</w:t>
            </w:r>
            <w:r w:rsidR="00904760">
              <w:rPr>
                <w:sz w:val="22"/>
                <w:szCs w:val="22"/>
              </w:rPr>
              <w:t xml:space="preserve"> Bổ sung trường hợp </w:t>
            </w:r>
            <w:r w:rsidR="00904760">
              <w:rPr>
                <w:sz w:val="22"/>
                <w:szCs w:val="22"/>
              </w:rPr>
              <w:lastRenderedPageBreak/>
              <w:t>c</w:t>
            </w:r>
            <w:r w:rsidR="00904760" w:rsidRPr="00904760">
              <w:rPr>
                <w:sz w:val="22"/>
                <w:szCs w:val="22"/>
              </w:rPr>
              <w:t>ác khu đất, thửa đất nằm trên địa bàn 02 xã, phường trở lên là 1,15%</w:t>
            </w:r>
            <w:r w:rsidR="00904760">
              <w:rPr>
                <w:sz w:val="22"/>
                <w:szCs w:val="22"/>
              </w:rPr>
              <w:t>, đảm bảo đầy đủ các trường hợp áp dụng có thể phát sinh trong thực tế.</w:t>
            </w:r>
          </w:p>
          <w:p w:rsidR="003662A6" w:rsidRPr="00135B8A" w:rsidRDefault="003662A6" w:rsidP="00114568">
            <w:pPr>
              <w:tabs>
                <w:tab w:val="center" w:pos="1843"/>
                <w:tab w:val="center" w:pos="6237"/>
              </w:tabs>
              <w:spacing w:before="60" w:after="60"/>
              <w:jc w:val="both"/>
              <w:rPr>
                <w:sz w:val="22"/>
                <w:szCs w:val="22"/>
              </w:rPr>
            </w:pPr>
            <w:r>
              <w:rPr>
                <w:sz w:val="22"/>
                <w:szCs w:val="22"/>
              </w:rPr>
              <w:t>* Tỉ lệ % đối với xã là 1% theo mức mặt bằng chung của các xã</w:t>
            </w:r>
            <w:r w:rsidR="00904760">
              <w:rPr>
                <w:sz w:val="22"/>
                <w:szCs w:val="22"/>
              </w:rPr>
              <w:t>.</w:t>
            </w:r>
            <w:bookmarkStart w:id="0" w:name="_GoBack"/>
            <w:bookmarkEnd w:id="0"/>
          </w:p>
        </w:tc>
      </w:tr>
      <w:tr w:rsidR="009B1765" w:rsidRPr="00135B8A" w:rsidTr="00904760">
        <w:trPr>
          <w:trHeight w:val="958"/>
        </w:trPr>
        <w:tc>
          <w:tcPr>
            <w:tcW w:w="217" w:type="pct"/>
            <w:vAlign w:val="center"/>
          </w:tcPr>
          <w:p w:rsidR="003662A6" w:rsidRPr="00135B8A" w:rsidRDefault="003662A6" w:rsidP="00114568">
            <w:pPr>
              <w:tabs>
                <w:tab w:val="center" w:pos="1843"/>
                <w:tab w:val="center" w:pos="6237"/>
              </w:tabs>
              <w:spacing w:before="60" w:after="60"/>
              <w:jc w:val="center"/>
              <w:rPr>
                <w:sz w:val="22"/>
                <w:szCs w:val="22"/>
              </w:rPr>
            </w:pPr>
            <w:r w:rsidRPr="00135B8A">
              <w:rPr>
                <w:sz w:val="22"/>
                <w:szCs w:val="22"/>
              </w:rPr>
              <w:lastRenderedPageBreak/>
              <w:t>b</w:t>
            </w:r>
          </w:p>
        </w:tc>
        <w:tc>
          <w:tcPr>
            <w:tcW w:w="383" w:type="pct"/>
            <w:vAlign w:val="center"/>
          </w:tcPr>
          <w:p w:rsidR="003662A6" w:rsidRPr="00135B8A" w:rsidRDefault="003662A6" w:rsidP="00114568">
            <w:pPr>
              <w:tabs>
                <w:tab w:val="center" w:pos="1843"/>
                <w:tab w:val="center" w:pos="6237"/>
              </w:tabs>
              <w:spacing w:before="60" w:after="60"/>
              <w:jc w:val="both"/>
              <w:rPr>
                <w:sz w:val="22"/>
                <w:szCs w:val="22"/>
              </w:rPr>
            </w:pPr>
            <w:r w:rsidRPr="00135B8A">
              <w:rPr>
                <w:sz w:val="22"/>
                <w:szCs w:val="22"/>
              </w:rPr>
              <w:t>Nhóm đất nông nghiệp</w:t>
            </w:r>
          </w:p>
        </w:tc>
        <w:tc>
          <w:tcPr>
            <w:tcW w:w="847" w:type="pct"/>
          </w:tcPr>
          <w:p w:rsidR="003662A6" w:rsidRPr="00135B8A" w:rsidRDefault="003662A6" w:rsidP="00114568">
            <w:pPr>
              <w:tabs>
                <w:tab w:val="center" w:pos="1843"/>
                <w:tab w:val="center" w:pos="6237"/>
              </w:tabs>
              <w:spacing w:before="60" w:after="60"/>
              <w:jc w:val="both"/>
              <w:rPr>
                <w:sz w:val="22"/>
                <w:szCs w:val="22"/>
              </w:rPr>
            </w:pPr>
          </w:p>
        </w:tc>
        <w:tc>
          <w:tcPr>
            <w:tcW w:w="595" w:type="pct"/>
            <w:vMerge/>
            <w:vAlign w:val="center"/>
          </w:tcPr>
          <w:p w:rsidR="003662A6" w:rsidRPr="00135B8A" w:rsidRDefault="003662A6" w:rsidP="00114568">
            <w:pPr>
              <w:tabs>
                <w:tab w:val="center" w:pos="1843"/>
                <w:tab w:val="center" w:pos="6237"/>
              </w:tabs>
              <w:spacing w:before="60" w:after="60"/>
              <w:jc w:val="both"/>
              <w:rPr>
                <w:sz w:val="22"/>
                <w:szCs w:val="22"/>
              </w:rPr>
            </w:pPr>
          </w:p>
        </w:tc>
        <w:tc>
          <w:tcPr>
            <w:tcW w:w="1168" w:type="pct"/>
            <w:vAlign w:val="center"/>
          </w:tcPr>
          <w:p w:rsidR="003662A6" w:rsidRPr="00135B8A" w:rsidRDefault="003662A6" w:rsidP="00114568">
            <w:pPr>
              <w:tabs>
                <w:tab w:val="center" w:pos="1843"/>
                <w:tab w:val="center" w:pos="6237"/>
              </w:tabs>
              <w:spacing w:before="60" w:after="60"/>
              <w:jc w:val="both"/>
              <w:rPr>
                <w:sz w:val="22"/>
                <w:szCs w:val="22"/>
              </w:rPr>
            </w:pPr>
            <w:r w:rsidRPr="00540FEA">
              <w:rPr>
                <w:sz w:val="22"/>
                <w:szCs w:val="22"/>
              </w:rPr>
              <w:t>2. Tỷ lệ phần trăm (%) tính đơn giá thuê đất một năm đối với nhóm đất nông nghiệp là 0,5%.</w:t>
            </w:r>
          </w:p>
        </w:tc>
        <w:tc>
          <w:tcPr>
            <w:tcW w:w="1078" w:type="pct"/>
            <w:vAlign w:val="center"/>
          </w:tcPr>
          <w:p w:rsidR="003662A6" w:rsidRPr="00135B8A" w:rsidRDefault="003662A6" w:rsidP="00114568">
            <w:pPr>
              <w:tabs>
                <w:tab w:val="center" w:pos="1843"/>
                <w:tab w:val="center" w:pos="6237"/>
              </w:tabs>
              <w:spacing w:before="60" w:after="60"/>
              <w:jc w:val="both"/>
              <w:rPr>
                <w:sz w:val="22"/>
                <w:szCs w:val="22"/>
              </w:rPr>
            </w:pPr>
            <w:r w:rsidRPr="00540FEA">
              <w:rPr>
                <w:sz w:val="22"/>
                <w:szCs w:val="22"/>
              </w:rPr>
              <w:t>2. Tỷ lệ phần trăm (%) tính đơn giá thuê đất một năm đối với nhóm đất nông nghiệp là 0,5%.</w:t>
            </w:r>
          </w:p>
        </w:tc>
        <w:tc>
          <w:tcPr>
            <w:tcW w:w="711" w:type="pct"/>
            <w:vAlign w:val="center"/>
          </w:tcPr>
          <w:p w:rsidR="003662A6" w:rsidRPr="00135B8A" w:rsidRDefault="003662A6" w:rsidP="00114568">
            <w:pPr>
              <w:tabs>
                <w:tab w:val="center" w:pos="1843"/>
                <w:tab w:val="center" w:pos="6237"/>
              </w:tabs>
              <w:spacing w:before="60" w:after="60"/>
              <w:jc w:val="both"/>
              <w:rPr>
                <w:sz w:val="22"/>
                <w:szCs w:val="22"/>
              </w:rPr>
            </w:pPr>
            <w:r>
              <w:rPr>
                <w:sz w:val="22"/>
                <w:szCs w:val="22"/>
              </w:rPr>
              <w:t xml:space="preserve">*Tiếp tục duy trì tỉ lệ 0,5% </w:t>
            </w:r>
            <w:r w:rsidRPr="00540FEA">
              <w:rPr>
                <w:sz w:val="22"/>
                <w:szCs w:val="22"/>
              </w:rPr>
              <w:t>đối với nhóm đất nông nghiệp</w:t>
            </w:r>
            <w:r>
              <w:rPr>
                <w:sz w:val="22"/>
                <w:szCs w:val="22"/>
              </w:rPr>
              <w:t xml:space="preserve"> đã áp dụng ổn định đến nay và hỗ trợ cho phát triển sản xuất nông nghiệp.</w:t>
            </w:r>
          </w:p>
        </w:tc>
      </w:tr>
      <w:tr w:rsidR="003662A6" w:rsidRPr="00135B8A" w:rsidTr="00904760">
        <w:tc>
          <w:tcPr>
            <w:tcW w:w="217" w:type="pct"/>
            <w:vAlign w:val="center"/>
          </w:tcPr>
          <w:p w:rsidR="003662A6" w:rsidRPr="00114568" w:rsidRDefault="003662A6" w:rsidP="00114568">
            <w:pPr>
              <w:tabs>
                <w:tab w:val="center" w:pos="1843"/>
                <w:tab w:val="center" w:pos="6237"/>
              </w:tabs>
              <w:spacing w:before="60" w:after="60"/>
              <w:rPr>
                <w:b/>
                <w:sz w:val="22"/>
                <w:szCs w:val="22"/>
              </w:rPr>
            </w:pPr>
            <w:r w:rsidRPr="00114568">
              <w:rPr>
                <w:b/>
                <w:sz w:val="22"/>
                <w:szCs w:val="22"/>
              </w:rPr>
              <w:t>2</w:t>
            </w:r>
          </w:p>
        </w:tc>
        <w:tc>
          <w:tcPr>
            <w:tcW w:w="4783" w:type="pct"/>
            <w:gridSpan w:val="6"/>
          </w:tcPr>
          <w:p w:rsidR="003662A6" w:rsidRDefault="003662A6" w:rsidP="00114568">
            <w:pPr>
              <w:tabs>
                <w:tab w:val="center" w:pos="1843"/>
                <w:tab w:val="center" w:pos="6237"/>
              </w:tabs>
              <w:spacing w:before="60" w:after="60"/>
              <w:jc w:val="both"/>
              <w:rPr>
                <w:sz w:val="22"/>
                <w:szCs w:val="22"/>
              </w:rPr>
            </w:pPr>
            <w:r w:rsidRPr="00135B8A">
              <w:rPr>
                <w:b/>
                <w:sz w:val="22"/>
                <w:szCs w:val="22"/>
              </w:rPr>
              <w:t>ĐƠN GIÁ THUÊ ĐẤT ĐỐI VỚI ĐẤT XÂY DỰNG CÔNG TRÌNH NGẦM (KHÔNG PHẢI LÀ PHẦN NGẦM CỦA CÔNG TRÌNH XÂY DỰNG TRÊN MẶT ĐẤT)</w:t>
            </w:r>
          </w:p>
        </w:tc>
      </w:tr>
      <w:tr w:rsidR="009B1765" w:rsidRPr="00135B8A" w:rsidTr="00904760">
        <w:tc>
          <w:tcPr>
            <w:tcW w:w="217" w:type="pct"/>
            <w:vAlign w:val="center"/>
          </w:tcPr>
          <w:p w:rsidR="009B1765" w:rsidRPr="00135B8A" w:rsidRDefault="009B1765" w:rsidP="009B1765">
            <w:pPr>
              <w:tabs>
                <w:tab w:val="center" w:pos="1843"/>
                <w:tab w:val="center" w:pos="6237"/>
              </w:tabs>
              <w:spacing w:before="60" w:after="60"/>
              <w:rPr>
                <w:sz w:val="22"/>
                <w:szCs w:val="22"/>
              </w:rPr>
            </w:pPr>
          </w:p>
        </w:tc>
        <w:tc>
          <w:tcPr>
            <w:tcW w:w="383" w:type="pct"/>
            <w:vAlign w:val="center"/>
          </w:tcPr>
          <w:p w:rsidR="009B1765" w:rsidRPr="00135B8A" w:rsidRDefault="009B1765" w:rsidP="009B1765">
            <w:pPr>
              <w:tabs>
                <w:tab w:val="center" w:pos="1843"/>
                <w:tab w:val="center" w:pos="6237"/>
              </w:tabs>
              <w:spacing w:before="60" w:after="60"/>
              <w:jc w:val="both"/>
              <w:rPr>
                <w:sz w:val="22"/>
                <w:szCs w:val="22"/>
              </w:rPr>
            </w:pPr>
          </w:p>
        </w:tc>
        <w:tc>
          <w:tcPr>
            <w:tcW w:w="847" w:type="pct"/>
            <w:vAlign w:val="center"/>
          </w:tcPr>
          <w:p w:rsidR="009B1765" w:rsidRPr="00FF3871" w:rsidRDefault="009B1765" w:rsidP="009B1765">
            <w:pPr>
              <w:tabs>
                <w:tab w:val="center" w:pos="1843"/>
                <w:tab w:val="center" w:pos="6237"/>
              </w:tabs>
              <w:spacing w:before="60" w:after="60"/>
              <w:jc w:val="both"/>
              <w:rPr>
                <w:sz w:val="22"/>
                <w:szCs w:val="22"/>
              </w:rPr>
            </w:pPr>
            <w:r>
              <w:rPr>
                <w:sz w:val="22"/>
                <w:szCs w:val="22"/>
              </w:rPr>
              <w:t xml:space="preserve">1. </w:t>
            </w:r>
            <w:r w:rsidRPr="00FF3871">
              <w:rPr>
                <w:sz w:val="22"/>
                <w:szCs w:val="22"/>
              </w:rPr>
              <w:t>Trường hợp thuê đất trả tiền thuê đất hằng năm, đơn giá thuê đất được tính theo mức không quá 30% của đơn giá thuê đất trên bề mặt với hình thức thuê đất trả tiền thuê đất hằng năm có cùng mục đích sử dụng đất.</w:t>
            </w:r>
          </w:p>
          <w:p w:rsidR="009B1765" w:rsidRPr="00135B8A" w:rsidRDefault="009B1765" w:rsidP="009B1765">
            <w:pPr>
              <w:tabs>
                <w:tab w:val="center" w:pos="1843"/>
                <w:tab w:val="center" w:pos="6237"/>
              </w:tabs>
              <w:spacing w:before="60" w:after="60"/>
              <w:jc w:val="both"/>
              <w:rPr>
                <w:sz w:val="22"/>
                <w:szCs w:val="22"/>
              </w:rPr>
            </w:pPr>
            <w:r>
              <w:rPr>
                <w:sz w:val="22"/>
                <w:szCs w:val="22"/>
              </w:rPr>
              <w:t xml:space="preserve">2. </w:t>
            </w:r>
            <w:r w:rsidRPr="00FF3871">
              <w:rPr>
                <w:sz w:val="22"/>
                <w:szCs w:val="22"/>
              </w:rPr>
              <w:t xml:space="preserve">Trường hợp thuê đất trả tiền thuê đất một lần cho </w:t>
            </w:r>
            <w:r w:rsidRPr="00FF3871">
              <w:rPr>
                <w:sz w:val="22"/>
                <w:szCs w:val="22"/>
              </w:rPr>
              <w:lastRenderedPageBreak/>
              <w:t>cả thời gian thuê, đơn giá thuê đất được tính theo mức không quá 30% của đơn giá thuê đất trên bề mặt với hình thức thuê đất trả tiền thuê đất một lần cho cả thời gian thuê có cùng mục đích sử dụng và thời hạn sử dụng đất.</w:t>
            </w:r>
          </w:p>
        </w:tc>
        <w:tc>
          <w:tcPr>
            <w:tcW w:w="595" w:type="pct"/>
            <w:vAlign w:val="center"/>
          </w:tcPr>
          <w:p w:rsidR="009B1765" w:rsidRPr="00135B8A" w:rsidRDefault="009B1765" w:rsidP="009B1765">
            <w:pPr>
              <w:tabs>
                <w:tab w:val="center" w:pos="1843"/>
                <w:tab w:val="center" w:pos="6237"/>
              </w:tabs>
              <w:spacing w:before="60" w:after="60"/>
              <w:jc w:val="both"/>
              <w:rPr>
                <w:sz w:val="22"/>
                <w:szCs w:val="22"/>
              </w:rPr>
            </w:pPr>
          </w:p>
        </w:tc>
        <w:tc>
          <w:tcPr>
            <w:tcW w:w="1168" w:type="pct"/>
            <w:vAlign w:val="center"/>
          </w:tcPr>
          <w:p w:rsidR="009B1765" w:rsidRPr="00FF3871" w:rsidRDefault="009B1765" w:rsidP="009B1765">
            <w:pPr>
              <w:tabs>
                <w:tab w:val="center" w:pos="1843"/>
                <w:tab w:val="center" w:pos="6237"/>
              </w:tabs>
              <w:spacing w:before="60" w:after="60"/>
              <w:jc w:val="both"/>
              <w:rPr>
                <w:sz w:val="22"/>
                <w:szCs w:val="22"/>
              </w:rPr>
            </w:pPr>
            <w:r w:rsidRPr="00FF3871">
              <w:rPr>
                <w:sz w:val="22"/>
                <w:szCs w:val="22"/>
              </w:rPr>
              <w:t>1. Trường hợp thuê đất trả tiền thuê đất hằng năm, đơn giá thuê đất được tính bằng 30% của đơn giá thuê đất trên bề mặt với hình thức thuê đất trả tiền thuê đất hằng nă</w:t>
            </w:r>
            <w:r>
              <w:rPr>
                <w:sz w:val="22"/>
                <w:szCs w:val="22"/>
              </w:rPr>
              <w:t>m có cùng mục đích sử dụng đất.</w:t>
            </w:r>
          </w:p>
          <w:p w:rsidR="009B1765" w:rsidRPr="00135B8A" w:rsidRDefault="009B1765" w:rsidP="009B1765">
            <w:pPr>
              <w:tabs>
                <w:tab w:val="center" w:pos="1843"/>
                <w:tab w:val="center" w:pos="6237"/>
              </w:tabs>
              <w:spacing w:before="60" w:after="60"/>
              <w:jc w:val="both"/>
              <w:rPr>
                <w:sz w:val="22"/>
                <w:szCs w:val="22"/>
              </w:rPr>
            </w:pPr>
            <w:r w:rsidRPr="00FF3871">
              <w:rPr>
                <w:sz w:val="22"/>
                <w:szCs w:val="22"/>
              </w:rPr>
              <w:t xml:space="preserve">2. Trường hợp thuê đất trả tiền thuê đất một lần cho cả thời gian thuê, đơn giá thuê đất được tính bằng 30% của đơn giá thuê đất trên bề mặt với hình thức thuê đất trả tiền thuê đất </w:t>
            </w:r>
            <w:r w:rsidRPr="00FF3871">
              <w:rPr>
                <w:sz w:val="22"/>
                <w:szCs w:val="22"/>
              </w:rPr>
              <w:lastRenderedPageBreak/>
              <w:t>một lần cho cả thời gian thuê có cùng mục đích sử dụng và thời hạn sử dụng đất.</w:t>
            </w:r>
          </w:p>
        </w:tc>
        <w:tc>
          <w:tcPr>
            <w:tcW w:w="1078" w:type="pct"/>
            <w:vAlign w:val="center"/>
          </w:tcPr>
          <w:p w:rsidR="009B1765" w:rsidRPr="00FF3871" w:rsidRDefault="009B1765" w:rsidP="009B1765">
            <w:pPr>
              <w:tabs>
                <w:tab w:val="center" w:pos="1843"/>
                <w:tab w:val="center" w:pos="6237"/>
              </w:tabs>
              <w:spacing w:before="60" w:after="60"/>
              <w:jc w:val="both"/>
              <w:rPr>
                <w:sz w:val="22"/>
                <w:szCs w:val="22"/>
              </w:rPr>
            </w:pPr>
            <w:r w:rsidRPr="00FF3871">
              <w:rPr>
                <w:sz w:val="22"/>
                <w:szCs w:val="22"/>
              </w:rPr>
              <w:lastRenderedPageBreak/>
              <w:t>1. Trường hợp thuê đất trả tiền thuê đất hằng năm, đơn giá thuê đất được tính bằng 30% của đơn giá thuê đất trên bề mặt với hình thức thuê đất trả tiền thuê đất hằng nă</w:t>
            </w:r>
            <w:r>
              <w:rPr>
                <w:sz w:val="22"/>
                <w:szCs w:val="22"/>
              </w:rPr>
              <w:t>m có cùng mục đích sử dụng đất.</w:t>
            </w:r>
          </w:p>
          <w:p w:rsidR="009B1765" w:rsidRPr="00135B8A" w:rsidRDefault="009B1765" w:rsidP="009B1765">
            <w:pPr>
              <w:tabs>
                <w:tab w:val="center" w:pos="1843"/>
                <w:tab w:val="center" w:pos="6237"/>
              </w:tabs>
              <w:spacing w:before="60" w:after="60"/>
              <w:jc w:val="both"/>
              <w:rPr>
                <w:sz w:val="22"/>
                <w:szCs w:val="22"/>
              </w:rPr>
            </w:pPr>
            <w:r w:rsidRPr="00FF3871">
              <w:rPr>
                <w:sz w:val="22"/>
                <w:szCs w:val="22"/>
              </w:rPr>
              <w:t xml:space="preserve">2. Trường hợp thuê đất trả tiền thuê đất một lần cho cả thời gian thuê, đơn giá thuê đất được tính bằng 30% của đơn giá thuê đất </w:t>
            </w:r>
            <w:r w:rsidRPr="00FF3871">
              <w:rPr>
                <w:sz w:val="22"/>
                <w:szCs w:val="22"/>
              </w:rPr>
              <w:lastRenderedPageBreak/>
              <w:t>trên bề mặt với hình thức thuê đất trả tiền thuê đất một lần cho cả thời gian thuê có cùng mục đích sử dụng và thời hạn sử dụng đất.</w:t>
            </w:r>
          </w:p>
        </w:tc>
        <w:tc>
          <w:tcPr>
            <w:tcW w:w="711" w:type="pct"/>
            <w:vAlign w:val="center"/>
          </w:tcPr>
          <w:p w:rsidR="009B1765" w:rsidRPr="00135B8A" w:rsidRDefault="009B1765" w:rsidP="009B1765">
            <w:pPr>
              <w:tabs>
                <w:tab w:val="center" w:pos="1843"/>
                <w:tab w:val="center" w:pos="6237"/>
              </w:tabs>
              <w:spacing w:before="60" w:after="60"/>
              <w:jc w:val="both"/>
              <w:rPr>
                <w:sz w:val="22"/>
                <w:szCs w:val="22"/>
              </w:rPr>
            </w:pPr>
            <w:r>
              <w:rPr>
                <w:sz w:val="22"/>
                <w:szCs w:val="22"/>
              </w:rPr>
              <w:lastRenderedPageBreak/>
              <w:t>*Áp dụng mức tỉ lệ 30% mà tỉnh Đồng Nai đã áp dụng ổn định đến nay do đã là mức tối đa của Nghị định 103/2024/NĐ-CP.</w:t>
            </w:r>
          </w:p>
        </w:tc>
      </w:tr>
      <w:tr w:rsidR="009B1765" w:rsidRPr="00135B8A" w:rsidTr="00904760">
        <w:tc>
          <w:tcPr>
            <w:tcW w:w="217" w:type="pct"/>
            <w:vAlign w:val="center"/>
          </w:tcPr>
          <w:p w:rsidR="009B1765" w:rsidRPr="009E0C41" w:rsidRDefault="009B1765" w:rsidP="009B1765">
            <w:pPr>
              <w:tabs>
                <w:tab w:val="center" w:pos="1843"/>
                <w:tab w:val="center" w:pos="6237"/>
              </w:tabs>
              <w:spacing w:before="60" w:after="60"/>
              <w:jc w:val="center"/>
              <w:rPr>
                <w:b/>
                <w:sz w:val="22"/>
                <w:szCs w:val="22"/>
              </w:rPr>
            </w:pPr>
            <w:r w:rsidRPr="009E0C41">
              <w:rPr>
                <w:b/>
                <w:sz w:val="22"/>
                <w:szCs w:val="22"/>
              </w:rPr>
              <w:t>3</w:t>
            </w:r>
          </w:p>
        </w:tc>
        <w:tc>
          <w:tcPr>
            <w:tcW w:w="4783" w:type="pct"/>
            <w:gridSpan w:val="6"/>
          </w:tcPr>
          <w:p w:rsidR="009B1765" w:rsidRPr="00135B8A" w:rsidRDefault="009B1765" w:rsidP="009B1765">
            <w:pPr>
              <w:tabs>
                <w:tab w:val="center" w:pos="1843"/>
                <w:tab w:val="center" w:pos="6237"/>
              </w:tabs>
              <w:spacing w:before="60" w:after="60"/>
              <w:jc w:val="both"/>
              <w:rPr>
                <w:b/>
                <w:sz w:val="22"/>
                <w:szCs w:val="22"/>
              </w:rPr>
            </w:pPr>
            <w:r w:rsidRPr="00135B8A">
              <w:rPr>
                <w:b/>
                <w:sz w:val="22"/>
                <w:szCs w:val="22"/>
              </w:rPr>
              <w:t>ĐƠN GIÁ THUÊ ĐẤT ĐỐI VỚI PHẦN DIỆN TÍCH ĐẤT CÓ MẶT NƯỚC</w:t>
            </w:r>
          </w:p>
        </w:tc>
      </w:tr>
      <w:tr w:rsidR="009B1765" w:rsidRPr="00135B8A" w:rsidTr="00904760">
        <w:tc>
          <w:tcPr>
            <w:tcW w:w="217" w:type="pct"/>
            <w:vAlign w:val="center"/>
          </w:tcPr>
          <w:p w:rsidR="009B1765" w:rsidRPr="00135B8A" w:rsidRDefault="009B1765" w:rsidP="009B1765">
            <w:pPr>
              <w:tabs>
                <w:tab w:val="center" w:pos="1843"/>
                <w:tab w:val="center" w:pos="6237"/>
              </w:tabs>
              <w:spacing w:before="60" w:after="60"/>
              <w:jc w:val="center"/>
              <w:rPr>
                <w:sz w:val="22"/>
                <w:szCs w:val="22"/>
              </w:rPr>
            </w:pPr>
            <w:r w:rsidRPr="00135B8A">
              <w:rPr>
                <w:sz w:val="22"/>
                <w:szCs w:val="22"/>
              </w:rPr>
              <w:t>a</w:t>
            </w:r>
          </w:p>
        </w:tc>
        <w:tc>
          <w:tcPr>
            <w:tcW w:w="383" w:type="pct"/>
            <w:vAlign w:val="center"/>
          </w:tcPr>
          <w:p w:rsidR="009B1765" w:rsidRPr="00135B8A" w:rsidRDefault="009B1765" w:rsidP="009B1765">
            <w:pPr>
              <w:tabs>
                <w:tab w:val="center" w:pos="1843"/>
                <w:tab w:val="center" w:pos="6237"/>
              </w:tabs>
              <w:spacing w:before="60" w:after="60"/>
              <w:jc w:val="both"/>
              <w:rPr>
                <w:sz w:val="22"/>
                <w:szCs w:val="22"/>
              </w:rPr>
            </w:pPr>
          </w:p>
        </w:tc>
        <w:tc>
          <w:tcPr>
            <w:tcW w:w="847" w:type="pct"/>
          </w:tcPr>
          <w:p w:rsidR="009B1765" w:rsidRPr="00C03ABA" w:rsidRDefault="009B1765" w:rsidP="009B1765">
            <w:pPr>
              <w:tabs>
                <w:tab w:val="center" w:pos="1843"/>
                <w:tab w:val="center" w:pos="6237"/>
              </w:tabs>
              <w:spacing w:before="60" w:after="60"/>
              <w:jc w:val="both"/>
              <w:rPr>
                <w:sz w:val="22"/>
                <w:szCs w:val="22"/>
              </w:rPr>
            </w:pPr>
            <w:r w:rsidRPr="00C03ABA">
              <w:rPr>
                <w:sz w:val="22"/>
                <w:szCs w:val="22"/>
              </w:rPr>
              <w:t>Đối với phần diện tích đất có mặt nước, đơn giá thuê đất trả tiền thuê đất hằng năm, đơn giá thuê đất trả tiền thuê đất một lần cho cả thời gian thuê được tính theo mức không thấp hơn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tc>
        <w:tc>
          <w:tcPr>
            <w:tcW w:w="595" w:type="pct"/>
            <w:vAlign w:val="center"/>
          </w:tcPr>
          <w:p w:rsidR="009B1765" w:rsidRPr="00135B8A" w:rsidRDefault="009B1765" w:rsidP="009B1765">
            <w:pPr>
              <w:tabs>
                <w:tab w:val="center" w:pos="1843"/>
                <w:tab w:val="center" w:pos="6237"/>
              </w:tabs>
              <w:spacing w:before="60" w:after="60"/>
              <w:jc w:val="both"/>
              <w:rPr>
                <w:sz w:val="22"/>
                <w:szCs w:val="22"/>
              </w:rPr>
            </w:pPr>
          </w:p>
        </w:tc>
        <w:tc>
          <w:tcPr>
            <w:tcW w:w="1168" w:type="pct"/>
            <w:vAlign w:val="center"/>
          </w:tcPr>
          <w:p w:rsidR="009B1765" w:rsidRPr="00135B8A" w:rsidRDefault="009B1765" w:rsidP="009B1765">
            <w:pPr>
              <w:tabs>
                <w:tab w:val="center" w:pos="1843"/>
                <w:tab w:val="center" w:pos="6237"/>
              </w:tabs>
              <w:spacing w:before="60" w:after="60"/>
              <w:jc w:val="both"/>
              <w:rPr>
                <w:sz w:val="22"/>
                <w:szCs w:val="22"/>
              </w:rPr>
            </w:pPr>
            <w:r w:rsidRPr="00224765">
              <w:rPr>
                <w:sz w:val="22"/>
                <w:szCs w:val="22"/>
              </w:rP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tc>
        <w:tc>
          <w:tcPr>
            <w:tcW w:w="1078" w:type="pct"/>
            <w:vAlign w:val="center"/>
          </w:tcPr>
          <w:p w:rsidR="009B1765" w:rsidRPr="00135B8A" w:rsidRDefault="009B1765" w:rsidP="009B1765">
            <w:pPr>
              <w:tabs>
                <w:tab w:val="center" w:pos="1843"/>
                <w:tab w:val="center" w:pos="6237"/>
              </w:tabs>
              <w:spacing w:before="60" w:after="60"/>
              <w:jc w:val="both"/>
              <w:rPr>
                <w:sz w:val="22"/>
                <w:szCs w:val="22"/>
              </w:rPr>
            </w:pPr>
            <w:r w:rsidRPr="00224765">
              <w:rPr>
                <w:sz w:val="22"/>
                <w:szCs w:val="22"/>
              </w:rP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tc>
        <w:tc>
          <w:tcPr>
            <w:tcW w:w="711" w:type="pct"/>
            <w:vAlign w:val="center"/>
          </w:tcPr>
          <w:p w:rsidR="009B1765" w:rsidRPr="00135B8A" w:rsidRDefault="009B1765" w:rsidP="009B1765">
            <w:pPr>
              <w:tabs>
                <w:tab w:val="center" w:pos="1843"/>
                <w:tab w:val="center" w:pos="6237"/>
              </w:tabs>
              <w:spacing w:before="60" w:after="60"/>
              <w:jc w:val="both"/>
              <w:rPr>
                <w:sz w:val="22"/>
                <w:szCs w:val="22"/>
              </w:rPr>
            </w:pPr>
            <w:r>
              <w:rPr>
                <w:sz w:val="22"/>
                <w:szCs w:val="22"/>
              </w:rPr>
              <w:t xml:space="preserve">*Áp dụng mức tỉ lệ 50% mà tỉnh Đồng Nai đã áp dụng ổn định đến nay. </w:t>
            </w:r>
          </w:p>
        </w:tc>
      </w:tr>
    </w:tbl>
    <w:p w:rsidR="00BC7C3E" w:rsidRPr="00E81FA0" w:rsidRDefault="00BC7C3E" w:rsidP="00723D06">
      <w:pPr>
        <w:tabs>
          <w:tab w:val="center" w:pos="1843"/>
          <w:tab w:val="center" w:pos="6237"/>
        </w:tabs>
        <w:spacing w:before="60" w:after="60"/>
        <w:jc w:val="both"/>
      </w:pPr>
    </w:p>
    <w:sectPr w:rsidR="00BC7C3E" w:rsidRPr="00E81FA0" w:rsidSect="00114568">
      <w:headerReference w:type="default" r:id="rId8"/>
      <w:footerReference w:type="even" r:id="rId9"/>
      <w:footerReference w:type="default" r:id="rId10"/>
      <w:pgSz w:w="16840" w:h="11907" w:orient="landscape" w:code="9"/>
      <w:pgMar w:top="851" w:right="1134" w:bottom="426" w:left="1134" w:header="72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B2" w:rsidRDefault="00AF67B2">
      <w:r>
        <w:separator/>
      </w:r>
    </w:p>
  </w:endnote>
  <w:endnote w:type="continuationSeparator" w:id="0">
    <w:p w:rsidR="00AF67B2" w:rsidRDefault="00AF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B2" w:rsidRDefault="00AF67B2">
      <w:r>
        <w:separator/>
      </w:r>
    </w:p>
  </w:footnote>
  <w:footnote w:type="continuationSeparator" w:id="0">
    <w:p w:rsidR="00AF67B2" w:rsidRDefault="00AF6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0834DD">
      <w:rPr>
        <w:noProof/>
      </w:rPr>
      <w:t>2</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12E"/>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47F26"/>
    <w:rsid w:val="00052650"/>
    <w:rsid w:val="000544CF"/>
    <w:rsid w:val="00056A91"/>
    <w:rsid w:val="00057F81"/>
    <w:rsid w:val="00060632"/>
    <w:rsid w:val="0006284C"/>
    <w:rsid w:val="00064831"/>
    <w:rsid w:val="000650C9"/>
    <w:rsid w:val="0006754B"/>
    <w:rsid w:val="00067ACA"/>
    <w:rsid w:val="00067B6F"/>
    <w:rsid w:val="00071E89"/>
    <w:rsid w:val="000749CB"/>
    <w:rsid w:val="00082FF4"/>
    <w:rsid w:val="000834DD"/>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214E"/>
    <w:rsid w:val="0010233C"/>
    <w:rsid w:val="001027EF"/>
    <w:rsid w:val="00105E92"/>
    <w:rsid w:val="00106076"/>
    <w:rsid w:val="0010626B"/>
    <w:rsid w:val="00107FAC"/>
    <w:rsid w:val="001114FB"/>
    <w:rsid w:val="001123A8"/>
    <w:rsid w:val="0011266A"/>
    <w:rsid w:val="00113596"/>
    <w:rsid w:val="00114568"/>
    <w:rsid w:val="0011717D"/>
    <w:rsid w:val="00117F16"/>
    <w:rsid w:val="0012146F"/>
    <w:rsid w:val="00124695"/>
    <w:rsid w:val="0012619B"/>
    <w:rsid w:val="001265DB"/>
    <w:rsid w:val="001312A6"/>
    <w:rsid w:val="00135B8A"/>
    <w:rsid w:val="00136A16"/>
    <w:rsid w:val="00136FC8"/>
    <w:rsid w:val="001411E5"/>
    <w:rsid w:val="00141DC9"/>
    <w:rsid w:val="00142EAD"/>
    <w:rsid w:val="00144E2A"/>
    <w:rsid w:val="00145741"/>
    <w:rsid w:val="00146333"/>
    <w:rsid w:val="001463D9"/>
    <w:rsid w:val="00151B0A"/>
    <w:rsid w:val="00151CCA"/>
    <w:rsid w:val="001532F7"/>
    <w:rsid w:val="00157E25"/>
    <w:rsid w:val="001612D8"/>
    <w:rsid w:val="00161510"/>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06CD"/>
    <w:rsid w:val="001D28F5"/>
    <w:rsid w:val="001D35E1"/>
    <w:rsid w:val="001E7CF5"/>
    <w:rsid w:val="001F38C4"/>
    <w:rsid w:val="001F543A"/>
    <w:rsid w:val="001F64E4"/>
    <w:rsid w:val="00205B4F"/>
    <w:rsid w:val="00207709"/>
    <w:rsid w:val="00211A0F"/>
    <w:rsid w:val="00212A3F"/>
    <w:rsid w:val="00212E7D"/>
    <w:rsid w:val="0021361B"/>
    <w:rsid w:val="00221524"/>
    <w:rsid w:val="002228D9"/>
    <w:rsid w:val="00223100"/>
    <w:rsid w:val="00223A39"/>
    <w:rsid w:val="00223F35"/>
    <w:rsid w:val="00224765"/>
    <w:rsid w:val="00224928"/>
    <w:rsid w:val="00225350"/>
    <w:rsid w:val="00226C0C"/>
    <w:rsid w:val="00227C87"/>
    <w:rsid w:val="00227D5E"/>
    <w:rsid w:val="00227F4F"/>
    <w:rsid w:val="002303E4"/>
    <w:rsid w:val="00230A24"/>
    <w:rsid w:val="00230D4A"/>
    <w:rsid w:val="00232CA5"/>
    <w:rsid w:val="002370D6"/>
    <w:rsid w:val="002440BE"/>
    <w:rsid w:val="002441EF"/>
    <w:rsid w:val="00244B2D"/>
    <w:rsid w:val="0024535F"/>
    <w:rsid w:val="0024635F"/>
    <w:rsid w:val="00246A36"/>
    <w:rsid w:val="00247C97"/>
    <w:rsid w:val="0025030E"/>
    <w:rsid w:val="00253B5F"/>
    <w:rsid w:val="00260124"/>
    <w:rsid w:val="002612D4"/>
    <w:rsid w:val="002632B3"/>
    <w:rsid w:val="00266500"/>
    <w:rsid w:val="00266BD7"/>
    <w:rsid w:val="00270A0E"/>
    <w:rsid w:val="00270F8E"/>
    <w:rsid w:val="00275031"/>
    <w:rsid w:val="002750EE"/>
    <w:rsid w:val="00276329"/>
    <w:rsid w:val="002771E3"/>
    <w:rsid w:val="00277BA0"/>
    <w:rsid w:val="002825D2"/>
    <w:rsid w:val="00286B34"/>
    <w:rsid w:val="00286C28"/>
    <w:rsid w:val="00293954"/>
    <w:rsid w:val="0029609E"/>
    <w:rsid w:val="002A562E"/>
    <w:rsid w:val="002B1632"/>
    <w:rsid w:val="002B1EAC"/>
    <w:rsid w:val="002B5848"/>
    <w:rsid w:val="002B5BF8"/>
    <w:rsid w:val="002C18ED"/>
    <w:rsid w:val="002C1C17"/>
    <w:rsid w:val="002C2653"/>
    <w:rsid w:val="002D14A4"/>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8EF"/>
    <w:rsid w:val="00327B54"/>
    <w:rsid w:val="003356F4"/>
    <w:rsid w:val="003410BF"/>
    <w:rsid w:val="003426AB"/>
    <w:rsid w:val="0034294F"/>
    <w:rsid w:val="00342D02"/>
    <w:rsid w:val="00344139"/>
    <w:rsid w:val="00344CEF"/>
    <w:rsid w:val="00346009"/>
    <w:rsid w:val="00352E44"/>
    <w:rsid w:val="00353A65"/>
    <w:rsid w:val="003571D9"/>
    <w:rsid w:val="003607E0"/>
    <w:rsid w:val="00360F2E"/>
    <w:rsid w:val="00361BF8"/>
    <w:rsid w:val="00364570"/>
    <w:rsid w:val="003662A6"/>
    <w:rsid w:val="0037016B"/>
    <w:rsid w:val="00372B17"/>
    <w:rsid w:val="003741FE"/>
    <w:rsid w:val="00375920"/>
    <w:rsid w:val="00380AB0"/>
    <w:rsid w:val="003814F0"/>
    <w:rsid w:val="003834BE"/>
    <w:rsid w:val="00383C07"/>
    <w:rsid w:val="00383E09"/>
    <w:rsid w:val="00385E9A"/>
    <w:rsid w:val="003860C7"/>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1CF"/>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3830"/>
    <w:rsid w:val="00413A01"/>
    <w:rsid w:val="00417221"/>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229D"/>
    <w:rsid w:val="0046533E"/>
    <w:rsid w:val="00470008"/>
    <w:rsid w:val="00471C45"/>
    <w:rsid w:val="004735B3"/>
    <w:rsid w:val="0047394A"/>
    <w:rsid w:val="00475906"/>
    <w:rsid w:val="00475A53"/>
    <w:rsid w:val="00476BD8"/>
    <w:rsid w:val="00476FF6"/>
    <w:rsid w:val="00480FF8"/>
    <w:rsid w:val="004817A8"/>
    <w:rsid w:val="00482C0E"/>
    <w:rsid w:val="00490C43"/>
    <w:rsid w:val="00491059"/>
    <w:rsid w:val="004959E0"/>
    <w:rsid w:val="00497A63"/>
    <w:rsid w:val="00497E23"/>
    <w:rsid w:val="004A34BD"/>
    <w:rsid w:val="004A5976"/>
    <w:rsid w:val="004B69AB"/>
    <w:rsid w:val="004C0F15"/>
    <w:rsid w:val="004C0FD9"/>
    <w:rsid w:val="004C18E5"/>
    <w:rsid w:val="004C263C"/>
    <w:rsid w:val="004C2E4C"/>
    <w:rsid w:val="004C5F96"/>
    <w:rsid w:val="004D0583"/>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66BE"/>
    <w:rsid w:val="00516906"/>
    <w:rsid w:val="00524930"/>
    <w:rsid w:val="005272D8"/>
    <w:rsid w:val="00527750"/>
    <w:rsid w:val="00527FFE"/>
    <w:rsid w:val="00534F1A"/>
    <w:rsid w:val="00535012"/>
    <w:rsid w:val="00535B32"/>
    <w:rsid w:val="005378A8"/>
    <w:rsid w:val="00540FEA"/>
    <w:rsid w:val="00542A7D"/>
    <w:rsid w:val="00543AD1"/>
    <w:rsid w:val="00543C28"/>
    <w:rsid w:val="00545F8B"/>
    <w:rsid w:val="00546207"/>
    <w:rsid w:val="00551A90"/>
    <w:rsid w:val="00551B6C"/>
    <w:rsid w:val="00552D5B"/>
    <w:rsid w:val="00554FDF"/>
    <w:rsid w:val="00560DD8"/>
    <w:rsid w:val="00560E8B"/>
    <w:rsid w:val="00561622"/>
    <w:rsid w:val="00562E7B"/>
    <w:rsid w:val="00564C17"/>
    <w:rsid w:val="005653A6"/>
    <w:rsid w:val="00570F9F"/>
    <w:rsid w:val="00572FED"/>
    <w:rsid w:val="00575826"/>
    <w:rsid w:val="0057651E"/>
    <w:rsid w:val="00580259"/>
    <w:rsid w:val="00585550"/>
    <w:rsid w:val="005865B2"/>
    <w:rsid w:val="005867E7"/>
    <w:rsid w:val="005876E8"/>
    <w:rsid w:val="00591484"/>
    <w:rsid w:val="00591806"/>
    <w:rsid w:val="0059433B"/>
    <w:rsid w:val="00595164"/>
    <w:rsid w:val="005966CB"/>
    <w:rsid w:val="0059672A"/>
    <w:rsid w:val="00597131"/>
    <w:rsid w:val="005A2EE4"/>
    <w:rsid w:val="005A729A"/>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20497"/>
    <w:rsid w:val="006218DC"/>
    <w:rsid w:val="00621E21"/>
    <w:rsid w:val="006229D7"/>
    <w:rsid w:val="00625FA2"/>
    <w:rsid w:val="00626699"/>
    <w:rsid w:val="00632B49"/>
    <w:rsid w:val="0063437B"/>
    <w:rsid w:val="006355E4"/>
    <w:rsid w:val="0063579E"/>
    <w:rsid w:val="0063657B"/>
    <w:rsid w:val="00637C2E"/>
    <w:rsid w:val="00646533"/>
    <w:rsid w:val="00650320"/>
    <w:rsid w:val="00651925"/>
    <w:rsid w:val="006539F3"/>
    <w:rsid w:val="00653A11"/>
    <w:rsid w:val="00653A34"/>
    <w:rsid w:val="00653EB9"/>
    <w:rsid w:val="00654918"/>
    <w:rsid w:val="00661CF8"/>
    <w:rsid w:val="006620EF"/>
    <w:rsid w:val="006668C3"/>
    <w:rsid w:val="00666E8D"/>
    <w:rsid w:val="00672D0A"/>
    <w:rsid w:val="00672D8A"/>
    <w:rsid w:val="006744C9"/>
    <w:rsid w:val="00681D15"/>
    <w:rsid w:val="00682E7A"/>
    <w:rsid w:val="006841B9"/>
    <w:rsid w:val="006876FC"/>
    <w:rsid w:val="006918E0"/>
    <w:rsid w:val="0069231B"/>
    <w:rsid w:val="00695128"/>
    <w:rsid w:val="00695919"/>
    <w:rsid w:val="00695DF8"/>
    <w:rsid w:val="00697152"/>
    <w:rsid w:val="006A0B61"/>
    <w:rsid w:val="006A1307"/>
    <w:rsid w:val="006A30B6"/>
    <w:rsid w:val="006A6A45"/>
    <w:rsid w:val="006A748A"/>
    <w:rsid w:val="006B2FB0"/>
    <w:rsid w:val="006B3275"/>
    <w:rsid w:val="006B368F"/>
    <w:rsid w:val="006B4300"/>
    <w:rsid w:val="006B685B"/>
    <w:rsid w:val="006C2F28"/>
    <w:rsid w:val="006C437A"/>
    <w:rsid w:val="006C6194"/>
    <w:rsid w:val="006C756F"/>
    <w:rsid w:val="006C7F77"/>
    <w:rsid w:val="006D03F3"/>
    <w:rsid w:val="006D05DF"/>
    <w:rsid w:val="006D0DE4"/>
    <w:rsid w:val="006D300E"/>
    <w:rsid w:val="006D7356"/>
    <w:rsid w:val="006D7607"/>
    <w:rsid w:val="006E1A57"/>
    <w:rsid w:val="006E2889"/>
    <w:rsid w:val="006E6763"/>
    <w:rsid w:val="006F13C3"/>
    <w:rsid w:val="006F1515"/>
    <w:rsid w:val="006F1F6D"/>
    <w:rsid w:val="006F2CEE"/>
    <w:rsid w:val="006F3DAD"/>
    <w:rsid w:val="006F7666"/>
    <w:rsid w:val="006F7B2B"/>
    <w:rsid w:val="007020E3"/>
    <w:rsid w:val="0071178F"/>
    <w:rsid w:val="00712802"/>
    <w:rsid w:val="00712AE3"/>
    <w:rsid w:val="00712BD9"/>
    <w:rsid w:val="007138E7"/>
    <w:rsid w:val="007210FD"/>
    <w:rsid w:val="00721796"/>
    <w:rsid w:val="00721CA5"/>
    <w:rsid w:val="00723D06"/>
    <w:rsid w:val="007240AC"/>
    <w:rsid w:val="0072482F"/>
    <w:rsid w:val="00725AE9"/>
    <w:rsid w:val="00725B58"/>
    <w:rsid w:val="00725DAB"/>
    <w:rsid w:val="00730396"/>
    <w:rsid w:val="00731C86"/>
    <w:rsid w:val="00731FD6"/>
    <w:rsid w:val="00733260"/>
    <w:rsid w:val="00733E55"/>
    <w:rsid w:val="007356CB"/>
    <w:rsid w:val="0074092D"/>
    <w:rsid w:val="00740F10"/>
    <w:rsid w:val="007418F4"/>
    <w:rsid w:val="00741BA5"/>
    <w:rsid w:val="00741E0A"/>
    <w:rsid w:val="0074215B"/>
    <w:rsid w:val="007438FA"/>
    <w:rsid w:val="0074499A"/>
    <w:rsid w:val="00747233"/>
    <w:rsid w:val="00750558"/>
    <w:rsid w:val="00761451"/>
    <w:rsid w:val="007617EE"/>
    <w:rsid w:val="00762AA1"/>
    <w:rsid w:val="007648B8"/>
    <w:rsid w:val="00764F59"/>
    <w:rsid w:val="00775A31"/>
    <w:rsid w:val="00776492"/>
    <w:rsid w:val="00777ABB"/>
    <w:rsid w:val="00777B07"/>
    <w:rsid w:val="00782662"/>
    <w:rsid w:val="007833A0"/>
    <w:rsid w:val="0078367B"/>
    <w:rsid w:val="00783849"/>
    <w:rsid w:val="00784893"/>
    <w:rsid w:val="0078560E"/>
    <w:rsid w:val="0078779E"/>
    <w:rsid w:val="00790ABE"/>
    <w:rsid w:val="00791BEC"/>
    <w:rsid w:val="007930E7"/>
    <w:rsid w:val="007950B8"/>
    <w:rsid w:val="007A2148"/>
    <w:rsid w:val="007A260E"/>
    <w:rsid w:val="007A40E1"/>
    <w:rsid w:val="007A6DAB"/>
    <w:rsid w:val="007B0737"/>
    <w:rsid w:val="007B1D9A"/>
    <w:rsid w:val="007C1CFC"/>
    <w:rsid w:val="007C2B1D"/>
    <w:rsid w:val="007C74D0"/>
    <w:rsid w:val="007D0AE5"/>
    <w:rsid w:val="007D1361"/>
    <w:rsid w:val="007D64DB"/>
    <w:rsid w:val="007D6C29"/>
    <w:rsid w:val="007E3662"/>
    <w:rsid w:val="007E4667"/>
    <w:rsid w:val="007F0745"/>
    <w:rsid w:val="00801F43"/>
    <w:rsid w:val="008022D8"/>
    <w:rsid w:val="008030E3"/>
    <w:rsid w:val="00804F87"/>
    <w:rsid w:val="00810ACF"/>
    <w:rsid w:val="00813215"/>
    <w:rsid w:val="008144BF"/>
    <w:rsid w:val="00820FC5"/>
    <w:rsid w:val="00823650"/>
    <w:rsid w:val="00824104"/>
    <w:rsid w:val="00830AE5"/>
    <w:rsid w:val="00830F40"/>
    <w:rsid w:val="008311E6"/>
    <w:rsid w:val="008335A7"/>
    <w:rsid w:val="008339ED"/>
    <w:rsid w:val="00837827"/>
    <w:rsid w:val="00841652"/>
    <w:rsid w:val="00846D0E"/>
    <w:rsid w:val="00846F12"/>
    <w:rsid w:val="00851711"/>
    <w:rsid w:val="00851E29"/>
    <w:rsid w:val="00855A7A"/>
    <w:rsid w:val="008576AC"/>
    <w:rsid w:val="008607C4"/>
    <w:rsid w:val="00863321"/>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C10AE"/>
    <w:rsid w:val="008C44BD"/>
    <w:rsid w:val="008C4762"/>
    <w:rsid w:val="008C5BDB"/>
    <w:rsid w:val="008C633B"/>
    <w:rsid w:val="008D14A4"/>
    <w:rsid w:val="008D20EE"/>
    <w:rsid w:val="008D2143"/>
    <w:rsid w:val="008D3516"/>
    <w:rsid w:val="008D4454"/>
    <w:rsid w:val="008D50D1"/>
    <w:rsid w:val="008D514E"/>
    <w:rsid w:val="008D5FE3"/>
    <w:rsid w:val="008D777B"/>
    <w:rsid w:val="008E2327"/>
    <w:rsid w:val="008E4C58"/>
    <w:rsid w:val="008E7AD0"/>
    <w:rsid w:val="008F0CC3"/>
    <w:rsid w:val="008F4E13"/>
    <w:rsid w:val="008F53A2"/>
    <w:rsid w:val="008F6135"/>
    <w:rsid w:val="008F725D"/>
    <w:rsid w:val="008F7B76"/>
    <w:rsid w:val="00902852"/>
    <w:rsid w:val="00902B60"/>
    <w:rsid w:val="00904760"/>
    <w:rsid w:val="00905172"/>
    <w:rsid w:val="00907921"/>
    <w:rsid w:val="00907D56"/>
    <w:rsid w:val="009121C9"/>
    <w:rsid w:val="0091436D"/>
    <w:rsid w:val="009206D7"/>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5855"/>
    <w:rsid w:val="009B1765"/>
    <w:rsid w:val="009B2899"/>
    <w:rsid w:val="009B3032"/>
    <w:rsid w:val="009B6F0C"/>
    <w:rsid w:val="009C03FD"/>
    <w:rsid w:val="009C425B"/>
    <w:rsid w:val="009C5768"/>
    <w:rsid w:val="009D3F45"/>
    <w:rsid w:val="009D736B"/>
    <w:rsid w:val="009E05E4"/>
    <w:rsid w:val="009E06D9"/>
    <w:rsid w:val="009E0C41"/>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17EF"/>
    <w:rsid w:val="00A9315D"/>
    <w:rsid w:val="00A93213"/>
    <w:rsid w:val="00A94C23"/>
    <w:rsid w:val="00AA0400"/>
    <w:rsid w:val="00AA1C4A"/>
    <w:rsid w:val="00AA2503"/>
    <w:rsid w:val="00AA3A5F"/>
    <w:rsid w:val="00AA524E"/>
    <w:rsid w:val="00AA528E"/>
    <w:rsid w:val="00AA6B32"/>
    <w:rsid w:val="00AA7E73"/>
    <w:rsid w:val="00AB01DA"/>
    <w:rsid w:val="00AB2378"/>
    <w:rsid w:val="00AB47A5"/>
    <w:rsid w:val="00AB6365"/>
    <w:rsid w:val="00AC3C1D"/>
    <w:rsid w:val="00AC3C99"/>
    <w:rsid w:val="00AC4D7B"/>
    <w:rsid w:val="00AC5D86"/>
    <w:rsid w:val="00AC67BE"/>
    <w:rsid w:val="00AC6D26"/>
    <w:rsid w:val="00AC7A40"/>
    <w:rsid w:val="00AD1CD8"/>
    <w:rsid w:val="00AD2EFE"/>
    <w:rsid w:val="00AD458F"/>
    <w:rsid w:val="00AD464E"/>
    <w:rsid w:val="00AD4E5C"/>
    <w:rsid w:val="00AD55A2"/>
    <w:rsid w:val="00AD5AC5"/>
    <w:rsid w:val="00AD67FA"/>
    <w:rsid w:val="00AD6F14"/>
    <w:rsid w:val="00AD75F5"/>
    <w:rsid w:val="00AE2086"/>
    <w:rsid w:val="00AE2480"/>
    <w:rsid w:val="00AE37C0"/>
    <w:rsid w:val="00AE42F8"/>
    <w:rsid w:val="00AE4D22"/>
    <w:rsid w:val="00AE5785"/>
    <w:rsid w:val="00AE7801"/>
    <w:rsid w:val="00AE7E6B"/>
    <w:rsid w:val="00AF1122"/>
    <w:rsid w:val="00AF12AE"/>
    <w:rsid w:val="00AF23E3"/>
    <w:rsid w:val="00AF4DB6"/>
    <w:rsid w:val="00AF67B2"/>
    <w:rsid w:val="00B0087D"/>
    <w:rsid w:val="00B01948"/>
    <w:rsid w:val="00B04329"/>
    <w:rsid w:val="00B04698"/>
    <w:rsid w:val="00B0661D"/>
    <w:rsid w:val="00B067D3"/>
    <w:rsid w:val="00B06B81"/>
    <w:rsid w:val="00B11B63"/>
    <w:rsid w:val="00B12165"/>
    <w:rsid w:val="00B206AB"/>
    <w:rsid w:val="00B21A07"/>
    <w:rsid w:val="00B21B0D"/>
    <w:rsid w:val="00B3437D"/>
    <w:rsid w:val="00B34673"/>
    <w:rsid w:val="00B34704"/>
    <w:rsid w:val="00B3509A"/>
    <w:rsid w:val="00B36CA6"/>
    <w:rsid w:val="00B373FD"/>
    <w:rsid w:val="00B5181C"/>
    <w:rsid w:val="00B568DA"/>
    <w:rsid w:val="00B56E21"/>
    <w:rsid w:val="00B57D76"/>
    <w:rsid w:val="00B60B2C"/>
    <w:rsid w:val="00B637F8"/>
    <w:rsid w:val="00B63805"/>
    <w:rsid w:val="00B63E86"/>
    <w:rsid w:val="00B65033"/>
    <w:rsid w:val="00B6523B"/>
    <w:rsid w:val="00B75DA9"/>
    <w:rsid w:val="00B81C4C"/>
    <w:rsid w:val="00B836D7"/>
    <w:rsid w:val="00B876C9"/>
    <w:rsid w:val="00B90B47"/>
    <w:rsid w:val="00B927B9"/>
    <w:rsid w:val="00B94B23"/>
    <w:rsid w:val="00B94F27"/>
    <w:rsid w:val="00B95CA3"/>
    <w:rsid w:val="00B9662E"/>
    <w:rsid w:val="00B9772E"/>
    <w:rsid w:val="00BA4B4C"/>
    <w:rsid w:val="00BB0347"/>
    <w:rsid w:val="00BB6DB1"/>
    <w:rsid w:val="00BC0793"/>
    <w:rsid w:val="00BC0F8A"/>
    <w:rsid w:val="00BC293E"/>
    <w:rsid w:val="00BC5533"/>
    <w:rsid w:val="00BC617F"/>
    <w:rsid w:val="00BC6904"/>
    <w:rsid w:val="00BC7C3E"/>
    <w:rsid w:val="00BD0DC9"/>
    <w:rsid w:val="00BD1AA4"/>
    <w:rsid w:val="00BD2032"/>
    <w:rsid w:val="00BD6045"/>
    <w:rsid w:val="00BD729C"/>
    <w:rsid w:val="00BE1861"/>
    <w:rsid w:val="00BE417B"/>
    <w:rsid w:val="00BE41AC"/>
    <w:rsid w:val="00BE47E2"/>
    <w:rsid w:val="00BE695A"/>
    <w:rsid w:val="00BE6B7A"/>
    <w:rsid w:val="00BF0197"/>
    <w:rsid w:val="00BF16D0"/>
    <w:rsid w:val="00BF378B"/>
    <w:rsid w:val="00BF3AAA"/>
    <w:rsid w:val="00BF49A1"/>
    <w:rsid w:val="00BF5F06"/>
    <w:rsid w:val="00C001C3"/>
    <w:rsid w:val="00C03ABA"/>
    <w:rsid w:val="00C03EED"/>
    <w:rsid w:val="00C04458"/>
    <w:rsid w:val="00C050C8"/>
    <w:rsid w:val="00C10178"/>
    <w:rsid w:val="00C1126D"/>
    <w:rsid w:val="00C117BA"/>
    <w:rsid w:val="00C11E39"/>
    <w:rsid w:val="00C31469"/>
    <w:rsid w:val="00C31F64"/>
    <w:rsid w:val="00C3387B"/>
    <w:rsid w:val="00C34AB7"/>
    <w:rsid w:val="00C372E8"/>
    <w:rsid w:val="00C409FD"/>
    <w:rsid w:val="00C40BC4"/>
    <w:rsid w:val="00C41683"/>
    <w:rsid w:val="00C436F7"/>
    <w:rsid w:val="00C43C3B"/>
    <w:rsid w:val="00C43E51"/>
    <w:rsid w:val="00C46829"/>
    <w:rsid w:val="00C5155E"/>
    <w:rsid w:val="00C51B11"/>
    <w:rsid w:val="00C522BF"/>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025"/>
    <w:rsid w:val="00D86289"/>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C6714"/>
    <w:rsid w:val="00DD311C"/>
    <w:rsid w:val="00DD379F"/>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6463"/>
    <w:rsid w:val="00E3402E"/>
    <w:rsid w:val="00E37419"/>
    <w:rsid w:val="00E40BE0"/>
    <w:rsid w:val="00E42446"/>
    <w:rsid w:val="00E42D2B"/>
    <w:rsid w:val="00E44A73"/>
    <w:rsid w:val="00E44D49"/>
    <w:rsid w:val="00E4771D"/>
    <w:rsid w:val="00E47A22"/>
    <w:rsid w:val="00E5257D"/>
    <w:rsid w:val="00E56265"/>
    <w:rsid w:val="00E60832"/>
    <w:rsid w:val="00E609A0"/>
    <w:rsid w:val="00E61053"/>
    <w:rsid w:val="00E65E7E"/>
    <w:rsid w:val="00E664A6"/>
    <w:rsid w:val="00E67799"/>
    <w:rsid w:val="00E70F08"/>
    <w:rsid w:val="00E711CC"/>
    <w:rsid w:val="00E71C44"/>
    <w:rsid w:val="00E73C2D"/>
    <w:rsid w:val="00E81FA0"/>
    <w:rsid w:val="00E84391"/>
    <w:rsid w:val="00E86823"/>
    <w:rsid w:val="00E87D2A"/>
    <w:rsid w:val="00E90408"/>
    <w:rsid w:val="00E90EB0"/>
    <w:rsid w:val="00E913FA"/>
    <w:rsid w:val="00E9395D"/>
    <w:rsid w:val="00E9486A"/>
    <w:rsid w:val="00E94C6C"/>
    <w:rsid w:val="00E95798"/>
    <w:rsid w:val="00EA10EC"/>
    <w:rsid w:val="00EA2369"/>
    <w:rsid w:val="00EA5FFB"/>
    <w:rsid w:val="00EA79D9"/>
    <w:rsid w:val="00EB03F2"/>
    <w:rsid w:val="00EB100F"/>
    <w:rsid w:val="00EB1FAB"/>
    <w:rsid w:val="00EB25FA"/>
    <w:rsid w:val="00EB2AB1"/>
    <w:rsid w:val="00EB3A35"/>
    <w:rsid w:val="00EB401E"/>
    <w:rsid w:val="00EB5892"/>
    <w:rsid w:val="00EB6530"/>
    <w:rsid w:val="00EC0760"/>
    <w:rsid w:val="00EC19D4"/>
    <w:rsid w:val="00EC275B"/>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70A"/>
    <w:rsid w:val="00F02D02"/>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6688"/>
    <w:rsid w:val="00F46CA3"/>
    <w:rsid w:val="00F474F9"/>
    <w:rsid w:val="00F50B48"/>
    <w:rsid w:val="00F51522"/>
    <w:rsid w:val="00F52284"/>
    <w:rsid w:val="00F54608"/>
    <w:rsid w:val="00F6108D"/>
    <w:rsid w:val="00F64686"/>
    <w:rsid w:val="00F7490C"/>
    <w:rsid w:val="00F74AE5"/>
    <w:rsid w:val="00F772B8"/>
    <w:rsid w:val="00F77D52"/>
    <w:rsid w:val="00F80195"/>
    <w:rsid w:val="00F8024C"/>
    <w:rsid w:val="00F83CED"/>
    <w:rsid w:val="00F857CF"/>
    <w:rsid w:val="00F9059C"/>
    <w:rsid w:val="00F90C76"/>
    <w:rsid w:val="00F92A01"/>
    <w:rsid w:val="00F94EAA"/>
    <w:rsid w:val="00F95125"/>
    <w:rsid w:val="00F953B3"/>
    <w:rsid w:val="00F967CF"/>
    <w:rsid w:val="00FA4061"/>
    <w:rsid w:val="00FA7684"/>
    <w:rsid w:val="00FA7C38"/>
    <w:rsid w:val="00FB0498"/>
    <w:rsid w:val="00FB2A86"/>
    <w:rsid w:val="00FB5AEA"/>
    <w:rsid w:val="00FB7AA1"/>
    <w:rsid w:val="00FB7EDA"/>
    <w:rsid w:val="00FD1F11"/>
    <w:rsid w:val="00FD52B0"/>
    <w:rsid w:val="00FD60D9"/>
    <w:rsid w:val="00FD7958"/>
    <w:rsid w:val="00FE184F"/>
    <w:rsid w:val="00FE2F78"/>
    <w:rsid w:val="00FE6E02"/>
    <w:rsid w:val="00FF281F"/>
    <w:rsid w:val="00FF3871"/>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3600-561B-458B-ACCD-82A9B620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6718</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 Thi Mong Han</cp:lastModifiedBy>
  <cp:revision>75</cp:revision>
  <cp:lastPrinted>2024-11-08T07:12:00Z</cp:lastPrinted>
  <dcterms:created xsi:type="dcterms:W3CDTF">2024-02-02T01:13:00Z</dcterms:created>
  <dcterms:modified xsi:type="dcterms:W3CDTF">2026-05-15T02:11:00Z</dcterms:modified>
</cp:coreProperties>
</file>