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EE5" w:rsidRPr="00E87EE5" w:rsidRDefault="00E87EE5" w:rsidP="00E87EE5">
      <w:pPr>
        <w:tabs>
          <w:tab w:val="left" w:pos="3135"/>
        </w:tabs>
        <w:jc w:val="both"/>
        <w:rPr>
          <w:rFonts w:ascii="Times New Roman" w:hAnsi="Times New Roman" w:cs="Times New Roman"/>
          <w:b/>
          <w:color w:val="0D0D0D" w:themeColor="text1" w:themeTint="F2"/>
          <w:sz w:val="14"/>
          <w:szCs w:val="28"/>
        </w:rPr>
      </w:pPr>
    </w:p>
    <w:p w:rsidR="00E87EE5" w:rsidRPr="00E87EE5" w:rsidRDefault="00E87EE5" w:rsidP="00E87EE5">
      <w:pPr>
        <w:tabs>
          <w:tab w:val="left" w:pos="3135"/>
        </w:tabs>
        <w:jc w:val="both"/>
        <w:rPr>
          <w:rFonts w:ascii="Times New Roman" w:hAnsi="Times New Roman" w:cs="Times New Roman"/>
          <w:b/>
          <w:color w:val="0D0D0D" w:themeColor="text1" w:themeTint="F2"/>
          <w:sz w:val="2"/>
          <w:szCs w:val="28"/>
          <w:lang w:val="en-US"/>
        </w:rPr>
      </w:pPr>
      <w:r w:rsidRPr="00E87EE5">
        <w:rPr>
          <w:rFonts w:ascii="Times New Roman" w:hAnsi="Times New Roman" w:cs="Times New Roman"/>
          <w:b/>
          <w:color w:val="0D0D0D" w:themeColor="text1" w:themeTint="F2"/>
          <w:sz w:val="28"/>
          <w:szCs w:val="28"/>
          <w:lang w:val="en-US"/>
        </w:rPr>
        <w:tab/>
      </w:r>
    </w:p>
    <w:tbl>
      <w:tblPr>
        <w:tblW w:w="9923" w:type="dxa"/>
        <w:tblInd w:w="-601" w:type="dxa"/>
        <w:tblLook w:val="01E0" w:firstRow="1" w:lastRow="1" w:firstColumn="1" w:lastColumn="1" w:noHBand="0" w:noVBand="0"/>
      </w:tblPr>
      <w:tblGrid>
        <w:gridCol w:w="4253"/>
        <w:gridCol w:w="5670"/>
      </w:tblGrid>
      <w:tr w:rsidR="00E87EE5" w:rsidRPr="00E87EE5" w:rsidTr="006651EA">
        <w:trPr>
          <w:trHeight w:val="1242"/>
        </w:trPr>
        <w:tc>
          <w:tcPr>
            <w:tcW w:w="4253" w:type="dxa"/>
          </w:tcPr>
          <w:p w:rsidR="00E87EE5" w:rsidRPr="00E87EE5" w:rsidRDefault="00E87EE5" w:rsidP="006651EA">
            <w:pPr>
              <w:tabs>
                <w:tab w:val="right" w:leader="dot" w:pos="7920"/>
              </w:tabs>
              <w:jc w:val="center"/>
              <w:rPr>
                <w:rFonts w:ascii="Times New Roman" w:eastAsia="Times New Roman" w:hAnsi="Times New Roman" w:cs="Times New Roman"/>
                <w:b/>
                <w:color w:val="0D0D0D" w:themeColor="text1" w:themeTint="F2"/>
                <w:sz w:val="26"/>
                <w:szCs w:val="28"/>
              </w:rPr>
            </w:pPr>
            <w:r w:rsidRPr="00E87EE5">
              <w:rPr>
                <w:rFonts w:ascii="Times New Roman" w:hAnsi="Times New Roman" w:cs="Times New Roman"/>
                <w:b/>
                <w:noProof/>
                <w:color w:val="0D0D0D" w:themeColor="text1" w:themeTint="F2"/>
                <w:sz w:val="26"/>
                <w:szCs w:val="26"/>
              </w:rPr>
              <w:t xml:space="preserve"> </w:t>
            </w:r>
            <w:r w:rsidRPr="00E87EE5">
              <w:rPr>
                <w:rFonts w:ascii="Times New Roman" w:eastAsia="Times New Roman" w:hAnsi="Times New Roman" w:cs="Times New Roman"/>
                <w:b/>
                <w:color w:val="0D0D0D" w:themeColor="text1" w:themeTint="F2"/>
                <w:sz w:val="26"/>
                <w:szCs w:val="28"/>
              </w:rPr>
              <w:t xml:space="preserve">ỦY BAN NHÂN DÂN </w:t>
            </w:r>
          </w:p>
          <w:p w:rsidR="00E87EE5" w:rsidRPr="00E87EE5" w:rsidRDefault="00E87EE5" w:rsidP="006651EA">
            <w:pPr>
              <w:tabs>
                <w:tab w:val="right" w:leader="dot" w:pos="7920"/>
              </w:tabs>
              <w:jc w:val="center"/>
              <w:rPr>
                <w:rFonts w:ascii="Times New Roman" w:hAnsi="Times New Roman" w:cs="Times New Roman"/>
                <w:b/>
                <w:color w:val="0D0D0D" w:themeColor="text1" w:themeTint="F2"/>
                <w:sz w:val="26"/>
                <w:szCs w:val="26"/>
                <w:vertAlign w:val="superscript"/>
              </w:rPr>
            </w:pPr>
            <w:r w:rsidRPr="00E87EE5">
              <w:rPr>
                <w:rFonts w:ascii="Times New Roman" w:eastAsia="Times New Roman" w:hAnsi="Times New Roman" w:cs="Times New Roman"/>
                <w:b/>
                <w:color w:val="0D0D0D" w:themeColor="text1" w:themeTint="F2"/>
                <w:sz w:val="26"/>
                <w:szCs w:val="28"/>
              </w:rPr>
              <w:t>TỈNH ĐỒNG NAI</w:t>
            </w:r>
            <w:r w:rsidRPr="00E87EE5">
              <w:rPr>
                <w:rFonts w:ascii="Times New Roman" w:hAnsi="Times New Roman" w:cs="Times New Roman"/>
                <w:b/>
                <w:color w:val="0D0D0D" w:themeColor="text1" w:themeTint="F2"/>
                <w:sz w:val="26"/>
                <w:szCs w:val="26"/>
              </w:rPr>
              <w:br/>
            </w:r>
            <w:r w:rsidRPr="00E87EE5">
              <w:rPr>
                <w:rFonts w:ascii="Times New Roman" w:hAnsi="Times New Roman" w:cs="Times New Roman"/>
                <w:b/>
                <w:color w:val="0D0D0D" w:themeColor="text1" w:themeTint="F2"/>
                <w:sz w:val="26"/>
                <w:szCs w:val="26"/>
                <w:vertAlign w:val="superscript"/>
              </w:rPr>
              <w:t>_______________</w:t>
            </w:r>
          </w:p>
          <w:p w:rsidR="00E87EE5" w:rsidRPr="00E87EE5" w:rsidRDefault="00E87EE5" w:rsidP="006651EA">
            <w:pPr>
              <w:tabs>
                <w:tab w:val="right" w:leader="dot" w:pos="8640"/>
              </w:tabs>
              <w:jc w:val="center"/>
              <w:rPr>
                <w:rFonts w:ascii="Times New Roman" w:eastAsia="Times New Roman" w:hAnsi="Times New Roman" w:cs="Times New Roman"/>
                <w:color w:val="0D0D0D" w:themeColor="text1" w:themeTint="F2"/>
                <w:sz w:val="26"/>
                <w:szCs w:val="28"/>
              </w:rPr>
            </w:pPr>
          </w:p>
          <w:p w:rsidR="00E87EE5" w:rsidRPr="00E87EE5" w:rsidRDefault="00E87EE5" w:rsidP="006651EA">
            <w:pPr>
              <w:tabs>
                <w:tab w:val="right" w:leader="dot" w:pos="8640"/>
              </w:tabs>
              <w:jc w:val="center"/>
              <w:rPr>
                <w:rFonts w:ascii="Times New Roman" w:eastAsia="Times New Roman" w:hAnsi="Times New Roman" w:cs="Times New Roman"/>
                <w:b/>
                <w:color w:val="0D0D0D" w:themeColor="text1" w:themeTint="F2"/>
                <w:sz w:val="27"/>
                <w:szCs w:val="27"/>
              </w:rPr>
            </w:pPr>
            <w:r w:rsidRPr="00E87EE5">
              <w:rPr>
                <w:rFonts w:ascii="Times New Roman" w:eastAsia="Times New Roman" w:hAnsi="Times New Roman" w:cs="Times New Roman"/>
                <w:color w:val="0D0D0D" w:themeColor="text1" w:themeTint="F2"/>
                <w:sz w:val="26"/>
                <w:szCs w:val="28"/>
              </w:rPr>
              <w:t>S</w:t>
            </w:r>
            <w:r w:rsidRPr="00E87EE5">
              <w:rPr>
                <w:rFonts w:ascii="Times New Roman" w:eastAsia="Times New Roman" w:hAnsi="Times New Roman" w:cs="Times New Roman"/>
                <w:color w:val="0D0D0D" w:themeColor="text1" w:themeTint="F2"/>
                <w:sz w:val="26"/>
                <w:szCs w:val="28"/>
                <w:lang w:val="en-US"/>
              </w:rPr>
              <w:t>ố</w:t>
            </w:r>
            <w:r w:rsidRPr="00E87EE5">
              <w:rPr>
                <w:rFonts w:ascii="Times New Roman" w:eastAsia="Times New Roman" w:hAnsi="Times New Roman" w:cs="Times New Roman"/>
                <w:color w:val="0D0D0D" w:themeColor="text1" w:themeTint="F2"/>
                <w:sz w:val="26"/>
                <w:szCs w:val="28"/>
              </w:rPr>
              <w:t>:.</w:t>
            </w:r>
            <w:r w:rsidRPr="00E87EE5">
              <w:rPr>
                <w:rFonts w:ascii="Times New Roman" w:eastAsia="Times New Roman" w:hAnsi="Times New Roman" w:cs="Times New Roman"/>
                <w:color w:val="0D0D0D" w:themeColor="text1" w:themeTint="F2"/>
                <w:sz w:val="26"/>
                <w:szCs w:val="28"/>
                <w:lang w:val="en-US"/>
              </w:rPr>
              <w:t xml:space="preserve">    </w:t>
            </w:r>
            <w:r w:rsidRPr="00E87EE5">
              <w:rPr>
                <w:rFonts w:ascii="Times New Roman" w:eastAsia="Times New Roman" w:hAnsi="Times New Roman" w:cs="Times New Roman"/>
                <w:color w:val="0D0D0D" w:themeColor="text1" w:themeTint="F2"/>
                <w:sz w:val="26"/>
                <w:szCs w:val="28"/>
              </w:rPr>
              <w:t>…</w:t>
            </w:r>
            <w:r w:rsidRPr="00E87EE5">
              <w:rPr>
                <w:rFonts w:ascii="Times New Roman" w:eastAsia="Times New Roman" w:hAnsi="Times New Roman" w:cs="Times New Roman"/>
                <w:color w:val="0D0D0D" w:themeColor="text1" w:themeTint="F2"/>
                <w:sz w:val="26"/>
                <w:szCs w:val="28"/>
                <w:lang w:val="en-US"/>
              </w:rPr>
              <w:t>.</w:t>
            </w:r>
            <w:r w:rsidRPr="00E87EE5">
              <w:rPr>
                <w:rFonts w:ascii="Times New Roman" w:eastAsia="Times New Roman" w:hAnsi="Times New Roman" w:cs="Times New Roman"/>
                <w:color w:val="0D0D0D" w:themeColor="text1" w:themeTint="F2"/>
                <w:sz w:val="26"/>
                <w:szCs w:val="28"/>
              </w:rPr>
              <w:t>./2</w:t>
            </w:r>
            <w:r w:rsidRPr="00E87EE5">
              <w:rPr>
                <w:rFonts w:ascii="Times New Roman" w:eastAsia="Times New Roman" w:hAnsi="Times New Roman" w:cs="Times New Roman"/>
                <w:color w:val="0D0D0D" w:themeColor="text1" w:themeTint="F2"/>
                <w:sz w:val="26"/>
                <w:szCs w:val="28"/>
                <w:lang w:val="en-US"/>
              </w:rPr>
              <w:t>026</w:t>
            </w:r>
            <w:r w:rsidRPr="00E87EE5">
              <w:rPr>
                <w:rFonts w:ascii="Times New Roman" w:eastAsia="Times New Roman" w:hAnsi="Times New Roman" w:cs="Times New Roman"/>
                <w:color w:val="0D0D0D" w:themeColor="text1" w:themeTint="F2"/>
                <w:sz w:val="26"/>
                <w:szCs w:val="28"/>
              </w:rPr>
              <w:t>/Q</w:t>
            </w:r>
            <w:r w:rsidRPr="00E87EE5">
              <w:rPr>
                <w:rFonts w:ascii="Times New Roman" w:eastAsia="Times New Roman" w:hAnsi="Times New Roman" w:cs="Times New Roman"/>
                <w:color w:val="0D0D0D" w:themeColor="text1" w:themeTint="F2"/>
                <w:sz w:val="26"/>
                <w:szCs w:val="28"/>
                <w:lang w:val="en-US"/>
              </w:rPr>
              <w:t>Đ</w:t>
            </w:r>
            <w:r w:rsidRPr="00E87EE5">
              <w:rPr>
                <w:rFonts w:ascii="Times New Roman" w:eastAsia="Times New Roman" w:hAnsi="Times New Roman" w:cs="Times New Roman"/>
                <w:color w:val="0D0D0D" w:themeColor="text1" w:themeTint="F2"/>
                <w:sz w:val="26"/>
                <w:szCs w:val="28"/>
              </w:rPr>
              <w:t>-</w:t>
            </w:r>
            <w:r w:rsidRPr="00E87EE5">
              <w:rPr>
                <w:rFonts w:ascii="Times New Roman" w:eastAsia="Times New Roman" w:hAnsi="Times New Roman" w:cs="Times New Roman"/>
                <w:color w:val="0D0D0D" w:themeColor="text1" w:themeTint="F2"/>
                <w:sz w:val="26"/>
                <w:szCs w:val="28"/>
                <w:lang w:val="en-US"/>
              </w:rPr>
              <w:t>UB</w:t>
            </w:r>
            <w:r w:rsidRPr="00E87EE5">
              <w:rPr>
                <w:rFonts w:ascii="Times New Roman" w:eastAsia="Times New Roman" w:hAnsi="Times New Roman" w:cs="Times New Roman"/>
                <w:color w:val="0D0D0D" w:themeColor="text1" w:themeTint="F2"/>
                <w:sz w:val="26"/>
                <w:szCs w:val="28"/>
              </w:rPr>
              <w:t>ND</w:t>
            </w:r>
          </w:p>
        </w:tc>
        <w:tc>
          <w:tcPr>
            <w:tcW w:w="5670" w:type="dxa"/>
          </w:tcPr>
          <w:p w:rsidR="00E87EE5" w:rsidRPr="00E87EE5" w:rsidRDefault="00E87EE5" w:rsidP="006651EA">
            <w:pPr>
              <w:tabs>
                <w:tab w:val="right" w:leader="dot" w:pos="7920"/>
              </w:tabs>
              <w:jc w:val="center"/>
              <w:rPr>
                <w:rFonts w:ascii="Times New Roman" w:hAnsi="Times New Roman" w:cs="Times New Roman"/>
                <w:b/>
                <w:color w:val="0D0D0D" w:themeColor="text1" w:themeTint="F2"/>
                <w:sz w:val="28"/>
                <w:szCs w:val="28"/>
              </w:rPr>
            </w:pPr>
            <w:r w:rsidRPr="00E87EE5">
              <w:rPr>
                <w:rFonts w:ascii="Times New Roman" w:hAnsi="Times New Roman" w:cs="Times New Roman"/>
                <w:b/>
                <w:color w:val="0D0D0D" w:themeColor="text1" w:themeTint="F2"/>
                <w:sz w:val="26"/>
              </w:rPr>
              <w:t>CỘNG HÒA XÃ HỘI CHỦ NGHĨA VIỆT NAM</w:t>
            </w:r>
            <w:r w:rsidRPr="00E87EE5">
              <w:rPr>
                <w:rFonts w:ascii="Times New Roman" w:hAnsi="Times New Roman" w:cs="Times New Roman"/>
                <w:b/>
                <w:color w:val="0D0D0D" w:themeColor="text1" w:themeTint="F2"/>
              </w:rPr>
              <w:br/>
            </w:r>
            <w:r w:rsidRPr="00E87EE5">
              <w:rPr>
                <w:rFonts w:ascii="Times New Roman" w:hAnsi="Times New Roman" w:cs="Times New Roman"/>
                <w:b/>
                <w:color w:val="0D0D0D" w:themeColor="text1" w:themeTint="F2"/>
                <w:sz w:val="28"/>
                <w:szCs w:val="28"/>
              </w:rPr>
              <w:t>Độc lập - Tự do - Hạnh phúc</w:t>
            </w:r>
          </w:p>
          <w:p w:rsidR="00E87EE5" w:rsidRPr="00E87EE5" w:rsidRDefault="00E87EE5" w:rsidP="006651EA">
            <w:pPr>
              <w:tabs>
                <w:tab w:val="right" w:leader="dot" w:pos="7920"/>
              </w:tabs>
              <w:jc w:val="center"/>
              <w:rPr>
                <w:rFonts w:ascii="Times New Roman" w:hAnsi="Times New Roman" w:cs="Times New Roman"/>
                <w:color w:val="0D0D0D" w:themeColor="text1" w:themeTint="F2"/>
                <w:sz w:val="28"/>
                <w:szCs w:val="28"/>
                <w:vertAlign w:val="superscript"/>
              </w:rPr>
            </w:pPr>
            <w:r w:rsidRPr="00E87EE5">
              <w:rPr>
                <w:rFonts w:ascii="Times New Roman" w:hAnsi="Times New Roman" w:cs="Times New Roman"/>
                <w:b/>
                <w:color w:val="0D0D0D" w:themeColor="text1" w:themeTint="F2"/>
                <w:sz w:val="26"/>
                <w:vertAlign w:val="superscript"/>
              </w:rPr>
              <w:t>________________________________________</w:t>
            </w:r>
          </w:p>
          <w:p w:rsidR="00E87EE5" w:rsidRPr="00E87EE5" w:rsidRDefault="00E87EE5" w:rsidP="006651EA">
            <w:pPr>
              <w:tabs>
                <w:tab w:val="right" w:leader="dot" w:pos="8640"/>
              </w:tabs>
              <w:jc w:val="center"/>
              <w:rPr>
                <w:rFonts w:ascii="Times New Roman" w:eastAsia="Times New Roman" w:hAnsi="Times New Roman" w:cs="Times New Roman"/>
                <w:color w:val="0D0D0D" w:themeColor="text1" w:themeTint="F2"/>
                <w:sz w:val="27"/>
                <w:szCs w:val="27"/>
              </w:rPr>
            </w:pPr>
            <w:r w:rsidRPr="00E87EE5">
              <w:rPr>
                <w:rFonts w:ascii="Times New Roman" w:eastAsia="Times New Roman" w:hAnsi="Times New Roman" w:cs="Times New Roman"/>
                <w:i/>
                <w:color w:val="0D0D0D" w:themeColor="text1" w:themeTint="F2"/>
                <w:sz w:val="28"/>
                <w:szCs w:val="28"/>
              </w:rPr>
              <w:t>Đồng Nai, ngày…….tháng…....năm 2026</w:t>
            </w:r>
          </w:p>
        </w:tc>
      </w:tr>
    </w:tbl>
    <w:p w:rsidR="00E87EE5" w:rsidRPr="00E87EE5" w:rsidRDefault="00E87EE5" w:rsidP="00E87EE5">
      <w:pPr>
        <w:tabs>
          <w:tab w:val="right" w:leader="dot" w:pos="8640"/>
        </w:tabs>
        <w:jc w:val="center"/>
        <w:rPr>
          <w:rFonts w:ascii="Times New Roman" w:hAnsi="Times New Roman" w:cs="Times New Roman"/>
          <w:b/>
          <w:color w:val="0D0D0D" w:themeColor="text1" w:themeTint="F2"/>
          <w:sz w:val="10"/>
          <w:szCs w:val="28"/>
        </w:rPr>
      </w:pPr>
    </w:p>
    <w:p w:rsidR="00E87EE5" w:rsidRPr="00E87EE5" w:rsidRDefault="00E87EE5" w:rsidP="00E87EE5">
      <w:pPr>
        <w:tabs>
          <w:tab w:val="right" w:leader="dot" w:pos="8640"/>
        </w:tabs>
        <w:jc w:val="center"/>
        <w:rPr>
          <w:rFonts w:ascii="Times New Roman" w:hAnsi="Times New Roman" w:cs="Times New Roman"/>
          <w:b/>
          <w:color w:val="0D0D0D" w:themeColor="text1" w:themeTint="F2"/>
          <w:sz w:val="28"/>
          <w:szCs w:val="28"/>
        </w:rPr>
      </w:pPr>
    </w:p>
    <w:p w:rsidR="00E87EE5" w:rsidRPr="00E87EE5" w:rsidRDefault="00E87EE5" w:rsidP="00E87EE5">
      <w:pPr>
        <w:tabs>
          <w:tab w:val="right" w:leader="dot" w:pos="8640"/>
        </w:tabs>
        <w:jc w:val="center"/>
        <w:rPr>
          <w:rFonts w:ascii="Times New Roman" w:hAnsi="Times New Roman" w:cs="Times New Roman"/>
          <w:b/>
          <w:color w:val="0D0D0D" w:themeColor="text1" w:themeTint="F2"/>
          <w:sz w:val="28"/>
          <w:szCs w:val="28"/>
        </w:rPr>
      </w:pPr>
      <w:r w:rsidRPr="00E87EE5">
        <w:rPr>
          <w:rFonts w:ascii="Times New Roman" w:hAnsi="Times New Roman" w:cs="Times New Roman"/>
          <w:b/>
          <w:color w:val="0D0D0D" w:themeColor="text1" w:themeTint="F2"/>
          <w:sz w:val="28"/>
          <w:szCs w:val="28"/>
        </w:rPr>
        <w:t>QUYẾT ĐỊNH</w:t>
      </w:r>
    </w:p>
    <w:p w:rsidR="00E87EE5" w:rsidRPr="00E87EE5" w:rsidRDefault="00E87EE5" w:rsidP="00E87EE5">
      <w:pPr>
        <w:tabs>
          <w:tab w:val="right" w:leader="dot" w:pos="8640"/>
        </w:tabs>
        <w:jc w:val="center"/>
        <w:rPr>
          <w:rFonts w:ascii="Times New Roman" w:hAnsi="Times New Roman" w:cs="Times New Roman"/>
          <w:b/>
          <w:color w:val="0D0D0D" w:themeColor="text1" w:themeTint="F2"/>
          <w:sz w:val="28"/>
          <w:szCs w:val="28"/>
        </w:rPr>
      </w:pPr>
      <w:r w:rsidRPr="00E87EE5">
        <w:rPr>
          <w:rFonts w:ascii="Times New Roman" w:hAnsi="Times New Roman" w:cs="Times New Roman"/>
          <w:b/>
          <w:color w:val="0D0D0D" w:themeColor="text1" w:themeTint="F2"/>
          <w:sz w:val="28"/>
          <w:szCs w:val="28"/>
        </w:rPr>
        <w:t>Quy định trình tự, thủ tục hành chính về đất đai áp dụng</w:t>
      </w:r>
    </w:p>
    <w:p w:rsidR="00E87EE5" w:rsidRPr="00E87EE5" w:rsidRDefault="00E87EE5" w:rsidP="00E87EE5">
      <w:pPr>
        <w:tabs>
          <w:tab w:val="right" w:leader="dot" w:pos="8640"/>
        </w:tabs>
        <w:jc w:val="center"/>
        <w:rPr>
          <w:rFonts w:ascii="Times New Roman" w:hAnsi="Times New Roman" w:cs="Times New Roman"/>
          <w:b/>
          <w:color w:val="0D0D0D" w:themeColor="text1" w:themeTint="F2"/>
          <w:szCs w:val="28"/>
        </w:rPr>
      </w:pPr>
      <w:r w:rsidRPr="00E87EE5">
        <w:rPr>
          <w:rFonts w:ascii="Times New Roman" w:hAnsi="Times New Roman" w:cs="Times New Roman"/>
          <w:b/>
          <w:color w:val="0D0D0D" w:themeColor="text1" w:themeTint="F2"/>
          <w:sz w:val="28"/>
          <w:szCs w:val="28"/>
        </w:rPr>
        <w:t>trên địa bàn tỉnh Đồng Nai</w:t>
      </w:r>
    </w:p>
    <w:p w:rsidR="00E87EE5" w:rsidRPr="00E87EE5" w:rsidRDefault="00E87EE5" w:rsidP="00E87EE5">
      <w:pPr>
        <w:tabs>
          <w:tab w:val="right" w:leader="dot" w:pos="8640"/>
        </w:tabs>
        <w:jc w:val="center"/>
        <w:rPr>
          <w:rFonts w:ascii="Times New Roman" w:hAnsi="Times New Roman" w:cs="Times New Roman"/>
          <w:b/>
          <w:color w:val="0D0D0D" w:themeColor="text1" w:themeTint="F2"/>
          <w:sz w:val="28"/>
          <w:szCs w:val="28"/>
        </w:rPr>
      </w:pPr>
    </w:p>
    <w:p w:rsidR="00E87EE5" w:rsidRPr="00E87EE5" w:rsidRDefault="00E87EE5" w:rsidP="00E87EE5">
      <w:pPr>
        <w:tabs>
          <w:tab w:val="right" w:leader="dot" w:pos="8640"/>
        </w:tabs>
        <w:jc w:val="center"/>
        <w:rPr>
          <w:rFonts w:ascii="Times New Roman" w:hAnsi="Times New Roman" w:cs="Times New Roman"/>
          <w:b/>
          <w:color w:val="0D0D0D" w:themeColor="text1" w:themeTint="F2"/>
          <w:sz w:val="8"/>
          <w:szCs w:val="28"/>
        </w:rPr>
      </w:pPr>
    </w:p>
    <w:p w:rsidR="00E87EE5" w:rsidRPr="00E87EE5" w:rsidRDefault="00E87EE5" w:rsidP="00E87EE5">
      <w:pPr>
        <w:tabs>
          <w:tab w:val="right" w:leader="dot" w:pos="8640"/>
        </w:tabs>
        <w:jc w:val="center"/>
        <w:rPr>
          <w:rFonts w:ascii="Times New Roman" w:hAnsi="Times New Roman" w:cs="Times New Roman"/>
          <w:b/>
          <w:color w:val="0D0D0D" w:themeColor="text1" w:themeTint="F2"/>
          <w:sz w:val="6"/>
          <w:szCs w:val="28"/>
        </w:rPr>
      </w:pP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eastAsia="en-US"/>
        </w:rPr>
      </w:pPr>
      <w:r w:rsidRPr="00E87EE5">
        <w:rPr>
          <w:rFonts w:ascii="Times New Roman" w:eastAsia="Times New Roman" w:hAnsi="Times New Roman" w:cs="Times New Roman"/>
          <w:i/>
          <w:iCs/>
          <w:color w:val="0D0D0D" w:themeColor="text1" w:themeTint="F2"/>
          <w:sz w:val="28"/>
          <w:szCs w:val="28"/>
          <w:lang w:eastAsia="en-US"/>
        </w:rPr>
        <w:t>Căn cứ Luật Tổ chức chính quyền địa phương số 72/2025/QH15;</w:t>
      </w: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eastAsia="en-US"/>
        </w:rPr>
      </w:pPr>
      <w:r w:rsidRPr="00E87EE5">
        <w:rPr>
          <w:rFonts w:ascii="Times New Roman" w:eastAsia="Times New Roman" w:hAnsi="Times New Roman" w:cs="Times New Roman"/>
          <w:i/>
          <w:iCs/>
          <w:color w:val="0D0D0D" w:themeColor="text1" w:themeTint="F2"/>
          <w:sz w:val="28"/>
          <w:szCs w:val="28"/>
          <w:lang w:eastAsia="en-US"/>
        </w:rPr>
        <w:t>Căn cứ Luật Ban hành văn bản quy phạm pháp luật số 64/2025/QH15 được sửa đổi, bổ sung bởi Luật số 87/2025/QH15;</w:t>
      </w: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eastAsia="en-US"/>
        </w:rPr>
      </w:pPr>
      <w:r w:rsidRPr="00E87EE5">
        <w:rPr>
          <w:rFonts w:ascii="Times New Roman" w:eastAsia="Times New Roman" w:hAnsi="Times New Roman" w:cs="Times New Roman"/>
          <w:i/>
          <w:iCs/>
          <w:color w:val="0D0D0D" w:themeColor="text1" w:themeTint="F2"/>
          <w:sz w:val="28"/>
          <w:szCs w:val="28"/>
          <w:lang w:eastAsia="en-US"/>
        </w:rPr>
        <w:t>Căn cứ Luật Đất đai số 31/2024/QH15 được sửa đổi, bổ sung bởi Luật số 43/2024/QH15, Luật số 47/2024/QH15, Luật số 58/2024/QH15, Luật số 71/2025/QH15, Luật số 84/2025/QH15, Luật số 93/2025/QH15, Luật số 95/2025/QH15, Luật số 146/2025/QH15 và Luật số 147/2025/QH15;</w:t>
      </w: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eastAsia="en-US"/>
        </w:rPr>
      </w:pPr>
      <w:r w:rsidRPr="00E87EE5">
        <w:rPr>
          <w:rFonts w:ascii="Times New Roman" w:eastAsia="Times New Roman" w:hAnsi="Times New Roman" w:cs="Times New Roman"/>
          <w:i/>
          <w:iCs/>
          <w:color w:val="0D0D0D" w:themeColor="text1" w:themeTint="F2"/>
          <w:sz w:val="28"/>
          <w:szCs w:val="28"/>
          <w:lang w:eastAsia="en-US"/>
        </w:rPr>
        <w:t>Căn cứ Nghị định số 63/2010/NĐ-CP của Chính phủ về kiểm soát thủ tục hành chính được sửa đổi, bổ sung bởi Nghị định số 48/2013/NĐ-CP, Nghị định số 92/2017/NĐ-CP, Nghị định số 78/2025/NĐ-CP và Nghị định số 118/2025/NĐ-CP;</w:t>
      </w: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eastAsia="en-US"/>
        </w:rPr>
      </w:pPr>
      <w:r w:rsidRPr="00E87EE5">
        <w:rPr>
          <w:rFonts w:ascii="Times New Roman" w:eastAsia="Times New Roman" w:hAnsi="Times New Roman" w:cs="Times New Roman"/>
          <w:i/>
          <w:iCs/>
          <w:color w:val="0D0D0D" w:themeColor="text1" w:themeTint="F2"/>
          <w:sz w:val="28"/>
          <w:szCs w:val="28"/>
          <w:lang w:eastAsia="en-US"/>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eastAsia="en-US"/>
        </w:rPr>
      </w:pPr>
      <w:r w:rsidRPr="00E87EE5">
        <w:rPr>
          <w:rFonts w:ascii="Times New Roman" w:eastAsia="Times New Roman" w:hAnsi="Times New Roman" w:cs="Times New Roman"/>
          <w:i/>
          <w:iCs/>
          <w:color w:val="0D0D0D" w:themeColor="text1" w:themeTint="F2"/>
          <w:sz w:val="28"/>
          <w:szCs w:val="28"/>
          <w:lang w:eastAsia="en-US"/>
        </w:rPr>
        <w:t>Căn cứ Nghị định số 49/2026/NĐ-CP của Chính phủ quy định chi tiết và hướng dẫn thi hành một số điều của Nghị quyết số 254/2025/QH15 của Quốc hội về cơ chế, chính sách tháo gỡ khó khăn, vướng mắc trong tổ chức thi hành Luật Đất đai;</w:t>
      </w: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val="en-US" w:eastAsia="en-US"/>
        </w:rPr>
      </w:pPr>
      <w:r w:rsidRPr="00E87EE5">
        <w:rPr>
          <w:rFonts w:ascii="Times New Roman" w:eastAsia="Times New Roman" w:hAnsi="Times New Roman" w:cs="Times New Roman"/>
          <w:i/>
          <w:iCs/>
          <w:color w:val="0D0D0D" w:themeColor="text1" w:themeTint="F2"/>
          <w:sz w:val="28"/>
          <w:szCs w:val="28"/>
          <w:lang w:eastAsia="en-US"/>
        </w:rPr>
        <w:t>Theo đề nghị của Giám đốc Sở Nông nghiệp và Môi trườn</w:t>
      </w:r>
      <w:r w:rsidRPr="00E87EE5">
        <w:rPr>
          <w:rFonts w:ascii="Times New Roman" w:eastAsia="Times New Roman" w:hAnsi="Times New Roman" w:cs="Times New Roman"/>
          <w:i/>
          <w:iCs/>
          <w:color w:val="0D0D0D" w:themeColor="text1" w:themeTint="F2"/>
          <w:sz w:val="28"/>
          <w:szCs w:val="28"/>
          <w:lang w:val="en-US" w:eastAsia="en-US"/>
        </w:rPr>
        <w:t>g;</w:t>
      </w:r>
    </w:p>
    <w:p w:rsidR="00E87EE5" w:rsidRPr="00E87EE5" w:rsidRDefault="00E87EE5" w:rsidP="00E87EE5">
      <w:pPr>
        <w:tabs>
          <w:tab w:val="right" w:leader="dot" w:pos="8640"/>
        </w:tabs>
        <w:spacing w:before="80" w:after="80" w:line="252" w:lineRule="auto"/>
        <w:ind w:firstLine="720"/>
        <w:jc w:val="both"/>
        <w:rPr>
          <w:rFonts w:ascii="Times New Roman" w:eastAsia="Times New Roman" w:hAnsi="Times New Roman" w:cs="Times New Roman"/>
          <w:i/>
          <w:iCs/>
          <w:color w:val="0D0D0D" w:themeColor="text1" w:themeTint="F2"/>
          <w:sz w:val="28"/>
          <w:szCs w:val="28"/>
          <w:lang w:val="en-US" w:eastAsia="en-US"/>
        </w:rPr>
      </w:pPr>
      <w:r w:rsidRPr="00E87EE5">
        <w:rPr>
          <w:rFonts w:ascii="Times New Roman" w:eastAsia="Times New Roman" w:hAnsi="Times New Roman" w:cs="Times New Roman"/>
          <w:i/>
          <w:iCs/>
          <w:color w:val="0D0D0D" w:themeColor="text1" w:themeTint="F2"/>
          <w:sz w:val="28"/>
          <w:szCs w:val="28"/>
          <w:lang w:eastAsia="en-US"/>
        </w:rPr>
        <w:t xml:space="preserve">Ủy ban nhân dân ban hành Quyết định quy định trình tự, thủ tục hành chính về đất đai trên địa bàn tỉnh Đồng Nai. </w:t>
      </w:r>
    </w:p>
    <w:p w:rsidR="00E87EE5" w:rsidRPr="00E87EE5" w:rsidRDefault="00E87EE5" w:rsidP="00E87EE5">
      <w:pPr>
        <w:tabs>
          <w:tab w:val="right" w:leader="dot" w:pos="8640"/>
        </w:tabs>
        <w:spacing w:before="80" w:after="80" w:line="252" w:lineRule="auto"/>
        <w:ind w:firstLine="720"/>
        <w:jc w:val="both"/>
        <w:rPr>
          <w:rFonts w:ascii="Times New Roman" w:hAnsi="Times New Roman" w:cs="Times New Roman"/>
          <w:b/>
          <w:color w:val="0D0D0D" w:themeColor="text1" w:themeTint="F2"/>
          <w:szCs w:val="28"/>
        </w:rPr>
      </w:pPr>
      <w:r w:rsidRPr="00E87EE5">
        <w:rPr>
          <w:rFonts w:ascii="Times New Roman" w:hAnsi="Times New Roman" w:cs="Times New Roman"/>
          <w:b/>
          <w:color w:val="0D0D0D" w:themeColor="text1" w:themeTint="F2"/>
          <w:sz w:val="28"/>
          <w:szCs w:val="28"/>
        </w:rPr>
        <w:t>Điều 1. Phạm vi điều chỉnh và đối tượng áp dụng</w:t>
      </w:r>
    </w:p>
    <w:p w:rsidR="00E87EE5" w:rsidRPr="00E87EE5" w:rsidRDefault="00E87EE5" w:rsidP="00E87EE5">
      <w:pPr>
        <w:tabs>
          <w:tab w:val="right" w:leader="dot" w:pos="8789"/>
        </w:tabs>
        <w:spacing w:before="80" w:after="80" w:line="252" w:lineRule="auto"/>
        <w:ind w:firstLine="720"/>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rPr>
        <w:t>1. Phạm vi điều chỉnh</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lang w:val="en-US"/>
        </w:rPr>
      </w:pPr>
      <w:r w:rsidRPr="00E87EE5">
        <w:rPr>
          <w:rFonts w:ascii="Times New Roman" w:hAnsi="Times New Roman" w:cs="Times New Roman"/>
          <w:bCs/>
          <w:color w:val="0D0D0D" w:themeColor="text1" w:themeTint="F2"/>
          <w:sz w:val="28"/>
          <w:szCs w:val="28"/>
        </w:rPr>
        <w:t>Quyết định này quy định trình tự, thủ tục thực hiện các thủ tục hành chính trong lĩnh vực đất đai thuộc thẩm quyền giải quyết của cơ quan nhà nước trên địa bàn tỉnh Đồng Nai</w:t>
      </w:r>
      <w:r w:rsidRPr="00E87EE5">
        <w:rPr>
          <w:rFonts w:ascii="Times New Roman" w:hAnsi="Times New Roman" w:cs="Times New Roman"/>
          <w:bCs/>
          <w:color w:val="0D0D0D" w:themeColor="text1" w:themeTint="F2"/>
          <w:sz w:val="28"/>
          <w:szCs w:val="28"/>
          <w:lang w:val="en-US"/>
        </w:rPr>
        <w:t xml:space="preserve"> theo quy định tại khoản 1 Điều 15 Nghị định số 49/2026/NĐ-CP quy định chi tiết và hướng dẫn một số điều của Nghị quyết số 254/2025/QH15 của Quốc hội quy định một số cơ chế, chính sách tháo gỡ khó khăn, vướng mắc trong tổ </w:t>
      </w:r>
      <w:r w:rsidRPr="00E87EE5">
        <w:rPr>
          <w:rFonts w:ascii="Times New Roman" w:hAnsi="Times New Roman" w:cs="Times New Roman"/>
          <w:bCs/>
          <w:color w:val="0D0D0D" w:themeColor="text1" w:themeTint="F2"/>
          <w:sz w:val="28"/>
          <w:szCs w:val="28"/>
          <w:lang w:val="en-US"/>
        </w:rPr>
        <w:lastRenderedPageBreak/>
        <w:t>chức thi hành Luật Đất đai</w:t>
      </w:r>
      <w:r w:rsidRPr="00E87EE5">
        <w:rPr>
          <w:rFonts w:ascii="Times New Roman" w:hAnsi="Times New Roman" w:cs="Times New Roman"/>
          <w:bCs/>
          <w:color w:val="0D0D0D" w:themeColor="text1" w:themeTint="F2"/>
          <w:sz w:val="28"/>
          <w:szCs w:val="28"/>
        </w:rPr>
        <w:t>, bao gồm:</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rPr>
        <w:t>a) Đăng ký đất đai, tài sản gắn liền với đất; cấp Giấy chứng nhận quyền sử dụng đất, quyền sở hữu tài sản gắn liền với đất;</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rPr>
        <w:t>b) Đăng ký biến động đất đai, chỉnh lý hồ sơ địa chính;</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rPr>
        <w:t>c) Giao đất, cho thuê đất, cho phép chuyển mục đích sử dụng đất, thu hồi đất;</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rPr>
        <w:t>d) Bồi thường, hỗ trợ, tái định cư khi Nhà nước thu hồi đất theo thẩm quyền;</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lang w:val="en-US"/>
        </w:rPr>
        <w:t>đ</w:t>
      </w:r>
      <w:r w:rsidRPr="00E87EE5">
        <w:rPr>
          <w:rFonts w:ascii="Times New Roman" w:hAnsi="Times New Roman" w:cs="Times New Roman"/>
          <w:bCs/>
          <w:color w:val="0D0D0D" w:themeColor="text1" w:themeTint="F2"/>
          <w:sz w:val="28"/>
          <w:szCs w:val="28"/>
        </w:rPr>
        <w:t>) Các thủ tục hành chính khác về đất đai thuộc thẩm quyền giải quyết của cơ quan nhà nước tại địa phương theo quy định của pháp luật.</w:t>
      </w:r>
    </w:p>
    <w:p w:rsidR="00E87EE5" w:rsidRPr="00E87EE5" w:rsidRDefault="00E87EE5" w:rsidP="00E87EE5">
      <w:pPr>
        <w:tabs>
          <w:tab w:val="right" w:leader="dot" w:pos="8789"/>
        </w:tabs>
        <w:spacing w:before="80" w:after="80" w:line="252" w:lineRule="auto"/>
        <w:ind w:firstLine="720"/>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rPr>
        <w:t>2. Đối tượng áp dụng</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lang w:val="en-US"/>
        </w:rPr>
        <w:t>a)</w:t>
      </w:r>
      <w:r w:rsidRPr="00E87EE5">
        <w:rPr>
          <w:rFonts w:ascii="Times New Roman" w:hAnsi="Times New Roman" w:cs="Times New Roman"/>
          <w:bCs/>
          <w:color w:val="0D0D0D" w:themeColor="text1" w:themeTint="F2"/>
          <w:sz w:val="28"/>
          <w:szCs w:val="28"/>
        </w:rPr>
        <w:t xml:space="preserve"> Cơ quan quản lý nhà nước về đất đai; cơ quan, đơn vị có liên quan đến việc giải quyết thủ tục hành chính đất đai trên địa bàn tỉnh Đồng Nai;</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lang w:val="en-US"/>
        </w:rPr>
        <w:t>b)</w:t>
      </w:r>
      <w:r w:rsidRPr="00E87EE5">
        <w:rPr>
          <w:rFonts w:ascii="Times New Roman" w:hAnsi="Times New Roman" w:cs="Times New Roman"/>
          <w:bCs/>
          <w:color w:val="0D0D0D" w:themeColor="text1" w:themeTint="F2"/>
          <w:sz w:val="28"/>
          <w:szCs w:val="28"/>
        </w:rPr>
        <w:t xml:space="preserve"> Ủy ban nhân dân các cấp; cơ quan chuyên môn thuộc Ủy ban nhân dân tỉnh và cấp xã;</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lang w:val="en-US"/>
        </w:rPr>
        <w:t xml:space="preserve">c) </w:t>
      </w:r>
      <w:r w:rsidRPr="00E87EE5">
        <w:rPr>
          <w:rFonts w:ascii="Times New Roman" w:hAnsi="Times New Roman" w:cs="Times New Roman"/>
          <w:bCs/>
          <w:color w:val="0D0D0D" w:themeColor="text1" w:themeTint="F2"/>
          <w:sz w:val="28"/>
          <w:szCs w:val="28"/>
        </w:rPr>
        <w:t>Văn phòng đăng ký đất đai và các Chi nhánh Văn phòng đăng ký đất đai;</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lang w:val="en-US"/>
        </w:rPr>
        <w:t xml:space="preserve">d) </w:t>
      </w:r>
      <w:r w:rsidRPr="00E87EE5">
        <w:rPr>
          <w:rFonts w:ascii="Times New Roman" w:hAnsi="Times New Roman" w:cs="Times New Roman"/>
          <w:bCs/>
          <w:color w:val="0D0D0D" w:themeColor="text1" w:themeTint="F2"/>
          <w:sz w:val="28"/>
          <w:szCs w:val="28"/>
        </w:rPr>
        <w:t>Tổ chức, hộ gia đình, cá nhân, cộng đồng dân cư, cơ sở tôn giáo, tổ chức kinh tế và các đối tượng khác có liên quan đến việc thực hiện thủ tục hành chính về đất đai.</w:t>
      </w:r>
    </w:p>
    <w:p w:rsidR="00E87EE5" w:rsidRPr="00E87EE5" w:rsidRDefault="00E87EE5" w:rsidP="00E87EE5">
      <w:pPr>
        <w:tabs>
          <w:tab w:val="right" w:leader="dot" w:pos="8789"/>
        </w:tabs>
        <w:spacing w:before="80" w:after="80" w:line="252" w:lineRule="auto"/>
        <w:ind w:firstLine="720"/>
        <w:rPr>
          <w:rFonts w:ascii="Times New Roman" w:hAnsi="Times New Roman" w:cs="Times New Roman"/>
          <w:b/>
          <w:bCs/>
          <w:color w:val="0D0D0D" w:themeColor="text1" w:themeTint="F2"/>
          <w:sz w:val="28"/>
          <w:szCs w:val="28"/>
        </w:rPr>
      </w:pPr>
      <w:r w:rsidRPr="00E87EE5">
        <w:rPr>
          <w:rFonts w:ascii="Times New Roman" w:hAnsi="Times New Roman" w:cs="Times New Roman"/>
          <w:b/>
          <w:bCs/>
          <w:color w:val="0D0D0D" w:themeColor="text1" w:themeTint="F2"/>
          <w:sz w:val="28"/>
          <w:szCs w:val="28"/>
        </w:rPr>
        <w:t>Điều 2. Nguyên tắc thực hiện</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lang w:val="en-US"/>
        </w:rPr>
        <w:t xml:space="preserve">1. </w:t>
      </w:r>
      <w:r w:rsidRPr="00E87EE5">
        <w:rPr>
          <w:rFonts w:ascii="Times New Roman" w:hAnsi="Times New Roman" w:cs="Times New Roman"/>
          <w:color w:val="0D0D0D" w:themeColor="text1" w:themeTint="F2"/>
          <w:sz w:val="28"/>
          <w:szCs w:val="28"/>
        </w:rPr>
        <w:t xml:space="preserve">Bảo đảm tuân thủ quy định của pháp luật đất đai, pháp luật về thủ tục hành chính và các quy định pháp luật có liên quan.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lang w:val="en-US"/>
        </w:rPr>
        <w:t xml:space="preserve">2. </w:t>
      </w:r>
      <w:r w:rsidRPr="00E87EE5">
        <w:rPr>
          <w:rFonts w:ascii="Times New Roman" w:hAnsi="Times New Roman" w:cs="Times New Roman"/>
          <w:color w:val="0D0D0D" w:themeColor="text1" w:themeTint="F2"/>
          <w:sz w:val="28"/>
          <w:szCs w:val="28"/>
        </w:rPr>
        <w:t xml:space="preserve">Công khai, minh bạch, đúng thẩm quyền, đúng trình tự, thời hạn giải quyết; bảo đảm quyền và lợi ích hợp pháp của người sử dụng đất.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lang w:val="en-US"/>
        </w:rPr>
        <w:t xml:space="preserve">3. </w:t>
      </w:r>
      <w:r w:rsidRPr="00E87EE5">
        <w:rPr>
          <w:rFonts w:ascii="Times New Roman" w:hAnsi="Times New Roman" w:cs="Times New Roman"/>
          <w:color w:val="0D0D0D" w:themeColor="text1" w:themeTint="F2"/>
          <w:sz w:val="28"/>
          <w:szCs w:val="28"/>
        </w:rPr>
        <w:t xml:space="preserve">Thực hiện cơ chế một cửa, một cửa liên thông trong giải quyết thủ tục hành chính; tăng cường ứng dụng công nghệ thông tin, dịch vụ công trực tuyến và chuyển đổi số trong lĩnh vực đất đai.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lang w:val="en-US"/>
        </w:rPr>
        <w:t xml:space="preserve">4. </w:t>
      </w:r>
      <w:r w:rsidRPr="00E87EE5">
        <w:rPr>
          <w:rFonts w:ascii="Times New Roman" w:hAnsi="Times New Roman" w:cs="Times New Roman"/>
          <w:color w:val="0D0D0D" w:themeColor="text1" w:themeTint="F2"/>
          <w:sz w:val="28"/>
          <w:szCs w:val="28"/>
        </w:rPr>
        <w:t xml:space="preserve">Phân định rõ trách nhiệm giữa các cơ quan, đơn vị, cá nhân trong từng khâu giải quyết hồ sơ; bảo đảm phối hợp chặt chẽ, không chồng chéo, không đùn đẩy trách nhiệm.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lang w:val="en-US"/>
        </w:rPr>
        <w:t xml:space="preserve">5. </w:t>
      </w:r>
      <w:r w:rsidRPr="00E87EE5">
        <w:rPr>
          <w:rFonts w:ascii="Times New Roman" w:hAnsi="Times New Roman" w:cs="Times New Roman"/>
          <w:color w:val="0D0D0D" w:themeColor="text1" w:themeTint="F2"/>
          <w:sz w:val="28"/>
          <w:szCs w:val="28"/>
        </w:rPr>
        <w:t xml:space="preserve">Hồ sơ, kết quả giải quyết thủ tục hành chính được quản lý thống nhất, cập nhật đầy đủ vào hệ thống hồ sơ địa chính và cơ sở dữ liệu đất đai.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lang w:val="en-US"/>
        </w:rPr>
        <w:t xml:space="preserve">6. </w:t>
      </w:r>
      <w:r w:rsidRPr="00E87EE5">
        <w:rPr>
          <w:rFonts w:ascii="Times New Roman" w:hAnsi="Times New Roman" w:cs="Times New Roman"/>
          <w:color w:val="0D0D0D" w:themeColor="text1" w:themeTint="F2"/>
          <w:sz w:val="28"/>
          <w:szCs w:val="28"/>
        </w:rPr>
        <w:t>Việc tiếp nhận, xử lý, luân chuyển hồ sơ phải bảo đảm rút ngắn thời gian giải quyết, giảm chi phí tuân thủ cho người dân và doanh nghiệp.</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
          <w:color w:val="0D0D0D" w:themeColor="text1" w:themeTint="F2"/>
          <w:sz w:val="28"/>
          <w:szCs w:val="28"/>
          <w:lang w:val="en-US"/>
        </w:rPr>
      </w:pPr>
      <w:r w:rsidRPr="00E87EE5">
        <w:rPr>
          <w:rFonts w:ascii="Times New Roman" w:hAnsi="Times New Roman" w:cs="Times New Roman"/>
          <w:b/>
          <w:color w:val="0D0D0D" w:themeColor="text1" w:themeTint="F2"/>
          <w:sz w:val="28"/>
          <w:szCs w:val="28"/>
        </w:rPr>
        <w:t>Điều 3. Trình tự, thủ tục hành chính trong lĩnh vực đất đai áp dụng trên địa bàn tỉnh Đồng Nai</w:t>
      </w:r>
      <w:bookmarkStart w:id="0" w:name="_GoBack"/>
      <w:bookmarkEnd w:id="0"/>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lang w:val="en-US"/>
        </w:rPr>
      </w:pPr>
      <w:r w:rsidRPr="00E87EE5">
        <w:rPr>
          <w:rFonts w:ascii="Times New Roman" w:hAnsi="Times New Roman" w:cs="Times New Roman"/>
          <w:bCs/>
          <w:color w:val="0D0D0D" w:themeColor="text1" w:themeTint="F2"/>
          <w:sz w:val="28"/>
          <w:szCs w:val="28"/>
          <w:lang w:val="en-US"/>
        </w:rPr>
        <w:t xml:space="preserve">Trình tự, thủ tục hành chính trong lĩnh vực đất đai được thực hiện theo Phụ </w:t>
      </w:r>
      <w:r w:rsidRPr="00E87EE5">
        <w:rPr>
          <w:rFonts w:ascii="Times New Roman" w:hAnsi="Times New Roman" w:cs="Times New Roman"/>
          <w:bCs/>
          <w:color w:val="0D0D0D" w:themeColor="text1" w:themeTint="F2"/>
          <w:sz w:val="28"/>
          <w:szCs w:val="28"/>
          <w:lang w:val="en-US"/>
        </w:rPr>
        <w:lastRenderedPageBreak/>
        <w:t>lục kèm theo Quyết định này.</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
          <w:color w:val="0D0D0D" w:themeColor="text1" w:themeTint="F2"/>
          <w:sz w:val="28"/>
          <w:szCs w:val="28"/>
        </w:rPr>
      </w:pPr>
      <w:r w:rsidRPr="00E87EE5">
        <w:rPr>
          <w:rFonts w:ascii="Times New Roman" w:hAnsi="Times New Roman" w:cs="Times New Roman"/>
          <w:b/>
          <w:color w:val="0D0D0D" w:themeColor="text1" w:themeTint="F2"/>
          <w:sz w:val="28"/>
          <w:szCs w:val="28"/>
        </w:rPr>
        <w:t xml:space="preserve">Điều 4. Tổ chức thực hiện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Cs/>
          <w:color w:val="0D0D0D" w:themeColor="text1" w:themeTint="F2"/>
          <w:sz w:val="28"/>
          <w:szCs w:val="28"/>
        </w:rPr>
      </w:pPr>
      <w:r w:rsidRPr="00E87EE5">
        <w:rPr>
          <w:rFonts w:ascii="Times New Roman" w:hAnsi="Times New Roman" w:cs="Times New Roman"/>
          <w:bCs/>
          <w:color w:val="0D0D0D" w:themeColor="text1" w:themeTint="F2"/>
          <w:sz w:val="28"/>
          <w:szCs w:val="28"/>
        </w:rPr>
        <w:t>1. Giao Sở Nông nghiệp và Môi trường là cơ quan đầu mối tham mưu Ủy ban nhân dân tỉnh tổ chức triển khai thực hiện Quyết định này.</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rPr>
        <w:t xml:space="preserve">2. Ủy ban nhân dân cấp xã: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rPr>
        <w:t>a) Thực hiện giải quyết các thủ tục hành chính theo nội dung đã được uỷ quyền;</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rPr>
        <w:t>b) Tuyên truyền, hướng dẫn người dân thực hiện thủ tục hành chính đất đai đúng quy định.</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rPr>
        <w:t xml:space="preserve">3. Cơ quan Thuế và các sở, ban, ngành có liên quan phối hợp giải quyết thủ tục hành chính đất đai theo chức năng, nhiệm vụ được giao.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rPr>
        <w:t xml:space="preserve">4. Việc tiếp nhận và trả kết quả được thực hiện tại Trung tâm Phục vụ hành chính công cấp </w:t>
      </w:r>
      <w:r w:rsidRPr="00E87EE5">
        <w:rPr>
          <w:rFonts w:ascii="Times New Roman" w:hAnsi="Times New Roman" w:cs="Times New Roman"/>
          <w:color w:val="0D0D0D" w:themeColor="text1" w:themeTint="F2"/>
          <w:sz w:val="28"/>
          <w:szCs w:val="28"/>
          <w:lang w:val="en-US"/>
        </w:rPr>
        <w:t>có thẩm quyền nơi có đất</w:t>
      </w:r>
      <w:r w:rsidRPr="00E87EE5">
        <w:rPr>
          <w:rFonts w:ascii="Times New Roman" w:hAnsi="Times New Roman" w:cs="Times New Roman"/>
          <w:color w:val="0D0D0D" w:themeColor="text1" w:themeTint="F2"/>
          <w:sz w:val="28"/>
          <w:szCs w:val="28"/>
        </w:rPr>
        <w:t xml:space="preserve"> hoặc qua dịch vụ công trực tuyến theo quy định.</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b/>
          <w:bCs/>
          <w:color w:val="0D0D0D" w:themeColor="text1" w:themeTint="F2"/>
          <w:sz w:val="28"/>
          <w:szCs w:val="28"/>
        </w:rPr>
      </w:pPr>
      <w:r w:rsidRPr="00E87EE5">
        <w:rPr>
          <w:rFonts w:ascii="Times New Roman" w:hAnsi="Times New Roman" w:cs="Times New Roman"/>
          <w:b/>
          <w:bCs/>
          <w:color w:val="0D0D0D" w:themeColor="text1" w:themeTint="F2"/>
          <w:sz w:val="28"/>
          <w:szCs w:val="28"/>
        </w:rPr>
        <w:t>Điều 5. Hiệu lực thi hành</w:t>
      </w:r>
    </w:p>
    <w:p w:rsidR="00E87EE5" w:rsidRPr="00E87EE5" w:rsidRDefault="00E87EE5" w:rsidP="00E87EE5">
      <w:pPr>
        <w:tabs>
          <w:tab w:val="right" w:leader="dot" w:pos="8789"/>
        </w:tabs>
        <w:spacing w:before="80" w:after="80" w:line="252" w:lineRule="auto"/>
        <w:ind w:firstLine="720"/>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rPr>
        <w:t>Quyết định này có hiệu lực thi hành từ ngày ....tháng..... năm 2026</w:t>
      </w:r>
    </w:p>
    <w:p w:rsidR="00E87EE5" w:rsidRPr="00E87EE5" w:rsidRDefault="00E87EE5" w:rsidP="00E87EE5">
      <w:pPr>
        <w:tabs>
          <w:tab w:val="right" w:leader="dot" w:pos="8789"/>
        </w:tabs>
        <w:spacing w:before="80" w:after="80" w:line="252" w:lineRule="auto"/>
        <w:ind w:firstLine="720"/>
        <w:rPr>
          <w:rFonts w:ascii="Times New Roman" w:hAnsi="Times New Roman" w:cs="Times New Roman"/>
          <w:b/>
          <w:bCs/>
          <w:color w:val="0D0D0D" w:themeColor="text1" w:themeTint="F2"/>
          <w:sz w:val="28"/>
          <w:szCs w:val="28"/>
        </w:rPr>
      </w:pPr>
      <w:r w:rsidRPr="00E87EE5">
        <w:rPr>
          <w:rFonts w:ascii="Times New Roman" w:hAnsi="Times New Roman" w:cs="Times New Roman"/>
          <w:b/>
          <w:bCs/>
          <w:color w:val="0D0D0D" w:themeColor="text1" w:themeTint="F2"/>
          <w:sz w:val="28"/>
          <w:szCs w:val="28"/>
        </w:rPr>
        <w:t xml:space="preserve">Điều 6. </w:t>
      </w:r>
      <w:r w:rsidRPr="00E87EE5">
        <w:rPr>
          <w:rFonts w:ascii="Times New Roman" w:hAnsi="Times New Roman" w:cs="Times New Roman"/>
          <w:b/>
          <w:color w:val="0D0D0D" w:themeColor="text1" w:themeTint="F2"/>
          <w:sz w:val="28"/>
          <w:szCs w:val="28"/>
        </w:rPr>
        <w:t>Trách nhiệm thi hành</w:t>
      </w:r>
      <w:r w:rsidRPr="00E87EE5">
        <w:rPr>
          <w:rFonts w:ascii="Times New Roman" w:hAnsi="Times New Roman" w:cs="Times New Roman"/>
          <w:b/>
          <w:bCs/>
          <w:color w:val="0D0D0D" w:themeColor="text1" w:themeTint="F2"/>
          <w:sz w:val="28"/>
          <w:szCs w:val="28"/>
        </w:rPr>
        <w:t xml:space="preserve"> </w:t>
      </w:r>
    </w:p>
    <w:p w:rsidR="00E87EE5" w:rsidRPr="00E87EE5" w:rsidRDefault="00E87EE5" w:rsidP="00E87EE5">
      <w:pPr>
        <w:tabs>
          <w:tab w:val="right" w:leader="dot" w:pos="8789"/>
        </w:tabs>
        <w:spacing w:before="80" w:after="80" w:line="252" w:lineRule="auto"/>
        <w:ind w:firstLine="720"/>
        <w:jc w:val="both"/>
        <w:rPr>
          <w:rFonts w:ascii="Times New Roman" w:hAnsi="Times New Roman" w:cs="Times New Roman"/>
          <w:color w:val="0D0D0D" w:themeColor="text1" w:themeTint="F2"/>
          <w:sz w:val="28"/>
          <w:szCs w:val="28"/>
        </w:rPr>
      </w:pPr>
      <w:r w:rsidRPr="00E87EE5">
        <w:rPr>
          <w:rFonts w:ascii="Times New Roman" w:hAnsi="Times New Roman" w:cs="Times New Roman"/>
          <w:color w:val="0D0D0D" w:themeColor="text1" w:themeTint="F2"/>
          <w:sz w:val="28"/>
          <w:szCs w:val="28"/>
        </w:rPr>
        <w:t>Chánh Văn phòng Ủy ban nhân dân tỉnh; Giám đốc Sở Nông nghiệp và Môi trường; Chủ tịch Ủy ban nhân dân các xã, phường; Thủ trưởng các Sở, ban ngành và các cơ quan, tổ chức, đơn vị có liên quan chịu trách nhiệm thi hành Quyết định này./.</w:t>
      </w:r>
    </w:p>
    <w:p w:rsidR="00E87EE5" w:rsidRPr="00E87EE5" w:rsidRDefault="00E87EE5" w:rsidP="00E87EE5">
      <w:pPr>
        <w:tabs>
          <w:tab w:val="right" w:leader="dot" w:pos="9214"/>
        </w:tabs>
        <w:jc w:val="center"/>
        <w:rPr>
          <w:rFonts w:ascii="Times New Roman" w:hAnsi="Times New Roman" w:cs="Times New Roman"/>
          <w:b/>
          <w:color w:val="0D0D0D" w:themeColor="text1" w:themeTint="F2"/>
          <w:sz w:val="8"/>
          <w:szCs w:val="28"/>
        </w:rPr>
      </w:pPr>
    </w:p>
    <w:p w:rsidR="00E87EE5" w:rsidRPr="00E87EE5" w:rsidRDefault="00E87EE5" w:rsidP="00E87EE5">
      <w:pPr>
        <w:tabs>
          <w:tab w:val="right" w:leader="dot" w:pos="8789"/>
        </w:tabs>
        <w:ind w:firstLine="567"/>
        <w:rPr>
          <w:rFonts w:ascii="Times New Roman" w:hAnsi="Times New Roman" w:cs="Times New Roman"/>
          <w:color w:val="0D0D0D" w:themeColor="text1" w:themeTint="F2"/>
          <w:sz w:val="2"/>
          <w:szCs w:val="28"/>
        </w:rPr>
      </w:pPr>
    </w:p>
    <w:tbl>
      <w:tblPr>
        <w:tblW w:w="0" w:type="auto"/>
        <w:tblLook w:val="01E0" w:firstRow="1" w:lastRow="1" w:firstColumn="1" w:lastColumn="1" w:noHBand="0" w:noVBand="0"/>
      </w:tblPr>
      <w:tblGrid>
        <w:gridCol w:w="4950"/>
        <w:gridCol w:w="4428"/>
      </w:tblGrid>
      <w:tr w:rsidR="00E87EE5" w:rsidRPr="00E87EE5" w:rsidTr="00113470">
        <w:tc>
          <w:tcPr>
            <w:tcW w:w="4950" w:type="dxa"/>
          </w:tcPr>
          <w:p w:rsidR="00E87EE5" w:rsidRPr="00E87EE5" w:rsidRDefault="00E87EE5" w:rsidP="006651EA">
            <w:pPr>
              <w:pStyle w:val="NormalWeb"/>
              <w:spacing w:before="0" w:beforeAutospacing="0" w:after="0" w:afterAutospacing="0"/>
              <w:rPr>
                <w:color w:val="0D0D0D" w:themeColor="text1" w:themeTint="F2"/>
                <w:lang w:val="vi-VN"/>
              </w:rPr>
            </w:pPr>
            <w:r w:rsidRPr="00E87EE5">
              <w:rPr>
                <w:b/>
                <w:i/>
                <w:color w:val="0D0D0D" w:themeColor="text1" w:themeTint="F2"/>
                <w:lang w:val="vi-VN"/>
              </w:rPr>
              <w:t>Nơi nhận:</w:t>
            </w:r>
            <w:r w:rsidRPr="00E87EE5">
              <w:rPr>
                <w:b/>
                <w:i/>
                <w:color w:val="0D0D0D" w:themeColor="text1" w:themeTint="F2"/>
                <w:lang w:val="vi-VN"/>
              </w:rPr>
              <w:br/>
            </w:r>
            <w:r w:rsidRPr="00E87EE5">
              <w:rPr>
                <w:color w:val="0D0D0D" w:themeColor="text1" w:themeTint="F2"/>
                <w:sz w:val="22"/>
                <w:szCs w:val="22"/>
                <w:lang w:val="vi-VN"/>
              </w:rPr>
              <w:t>-</w:t>
            </w:r>
            <w:r w:rsidRPr="00E87EE5">
              <w:rPr>
                <w:color w:val="0D0D0D" w:themeColor="text1" w:themeTint="F2"/>
                <w:lang w:val="vi-VN"/>
              </w:rPr>
              <w:t xml:space="preserve"> Như Điều 6;</w:t>
            </w:r>
          </w:p>
          <w:p w:rsidR="00E87EE5" w:rsidRPr="00E87EE5" w:rsidRDefault="00E87EE5" w:rsidP="006651EA">
            <w:pPr>
              <w:widowControl/>
              <w:rPr>
                <w:rFonts w:ascii="Times New Roman" w:eastAsia="Times New Roman" w:hAnsi="Times New Roman" w:cs="Times New Roman"/>
                <w:color w:val="0D0D0D" w:themeColor="text1" w:themeTint="F2"/>
                <w:lang w:eastAsia="en-US"/>
              </w:rPr>
            </w:pPr>
            <w:r w:rsidRPr="00E87EE5">
              <w:rPr>
                <w:rFonts w:ascii="Times New Roman" w:eastAsia="Times New Roman" w:hAnsi="Times New Roman" w:cs="Times New Roman"/>
                <w:color w:val="0D0D0D" w:themeColor="text1" w:themeTint="F2"/>
                <w:lang w:eastAsia="en-US"/>
              </w:rPr>
              <w:t>- Chính phủ;</w:t>
            </w:r>
          </w:p>
          <w:p w:rsidR="00E87EE5" w:rsidRPr="00E87EE5" w:rsidRDefault="00E87EE5" w:rsidP="006651EA">
            <w:pPr>
              <w:widowControl/>
              <w:rPr>
                <w:rFonts w:ascii="Times New Roman" w:eastAsia="Times New Roman" w:hAnsi="Times New Roman" w:cs="Times New Roman"/>
                <w:color w:val="0D0D0D" w:themeColor="text1" w:themeTint="F2"/>
                <w:lang w:eastAsia="en-US"/>
              </w:rPr>
            </w:pPr>
            <w:r w:rsidRPr="00E87EE5">
              <w:rPr>
                <w:rFonts w:ascii="Times New Roman" w:eastAsia="Times New Roman" w:hAnsi="Times New Roman" w:cs="Times New Roman"/>
                <w:color w:val="0D0D0D" w:themeColor="text1" w:themeTint="F2"/>
                <w:lang w:eastAsia="en-US"/>
              </w:rPr>
              <w:t xml:space="preserve">- </w:t>
            </w:r>
            <w:r w:rsidRPr="00E87EE5">
              <w:rPr>
                <w:rFonts w:ascii="Times New Roman" w:eastAsia="Times New Roman" w:hAnsi="Times New Roman" w:cs="Times New Roman"/>
                <w:color w:val="0D0D0D" w:themeColor="text1" w:themeTint="F2"/>
                <w:lang w:val="en-US" w:eastAsia="en-US"/>
              </w:rPr>
              <w:t xml:space="preserve">Cục Kiểm tra văn bản và Tổ chức thu hành pháp luật - </w:t>
            </w:r>
            <w:r w:rsidRPr="00E87EE5">
              <w:rPr>
                <w:rFonts w:ascii="Times New Roman" w:eastAsia="Times New Roman" w:hAnsi="Times New Roman" w:cs="Times New Roman"/>
                <w:color w:val="0D0D0D" w:themeColor="text1" w:themeTint="F2"/>
                <w:lang w:eastAsia="en-US"/>
              </w:rPr>
              <w:t>Bộ Tư pháp;</w:t>
            </w:r>
          </w:p>
          <w:p w:rsidR="00E87EE5" w:rsidRPr="00E87EE5" w:rsidRDefault="00E87EE5" w:rsidP="006651EA">
            <w:pPr>
              <w:widowControl/>
              <w:rPr>
                <w:rFonts w:ascii="Times New Roman" w:eastAsia="Times New Roman" w:hAnsi="Times New Roman" w:cs="Times New Roman"/>
                <w:color w:val="0D0D0D" w:themeColor="text1" w:themeTint="F2"/>
                <w:lang w:eastAsia="en-US"/>
              </w:rPr>
            </w:pPr>
            <w:r w:rsidRPr="00E87EE5">
              <w:rPr>
                <w:rFonts w:ascii="Times New Roman" w:eastAsia="Times New Roman" w:hAnsi="Times New Roman" w:cs="Times New Roman"/>
                <w:color w:val="0D0D0D" w:themeColor="text1" w:themeTint="F2"/>
                <w:lang w:eastAsia="en-US"/>
              </w:rPr>
              <w:t xml:space="preserve">- </w:t>
            </w:r>
            <w:r w:rsidRPr="00E87EE5">
              <w:rPr>
                <w:rFonts w:ascii="Times New Roman" w:eastAsia="Times New Roman" w:hAnsi="Times New Roman" w:cs="Times New Roman"/>
                <w:color w:val="0D0D0D" w:themeColor="text1" w:themeTint="F2"/>
                <w:lang w:val="en-US" w:eastAsia="en-US"/>
              </w:rPr>
              <w:t xml:space="preserve">Vụ Pháp chế - </w:t>
            </w:r>
            <w:r w:rsidRPr="00E87EE5">
              <w:rPr>
                <w:rFonts w:ascii="Times New Roman" w:eastAsia="Times New Roman" w:hAnsi="Times New Roman" w:cs="Times New Roman"/>
                <w:color w:val="0D0D0D" w:themeColor="text1" w:themeTint="F2"/>
                <w:lang w:eastAsia="en-US"/>
              </w:rPr>
              <w:t>Bộ Nông nghiệp và Môi trường;</w:t>
            </w:r>
          </w:p>
          <w:p w:rsidR="00E87EE5" w:rsidRPr="00E87EE5" w:rsidRDefault="00E87EE5" w:rsidP="006651EA">
            <w:pPr>
              <w:widowControl/>
              <w:rPr>
                <w:rFonts w:ascii="Times New Roman" w:eastAsia="Times New Roman" w:hAnsi="Times New Roman" w:cs="Times New Roman"/>
                <w:color w:val="0D0D0D" w:themeColor="text1" w:themeTint="F2"/>
                <w:lang w:eastAsia="en-US"/>
              </w:rPr>
            </w:pPr>
            <w:r w:rsidRPr="00E87EE5">
              <w:rPr>
                <w:rFonts w:ascii="Times New Roman" w:eastAsia="Times New Roman" w:hAnsi="Times New Roman" w:cs="Times New Roman"/>
                <w:color w:val="0D0D0D" w:themeColor="text1" w:themeTint="F2"/>
                <w:lang w:eastAsia="en-US"/>
              </w:rPr>
              <w:t>- Thường trực Tỉnh ủy;</w:t>
            </w:r>
          </w:p>
          <w:p w:rsidR="00E87EE5" w:rsidRPr="00E87EE5" w:rsidRDefault="00E87EE5" w:rsidP="006651EA">
            <w:pPr>
              <w:widowControl/>
              <w:rPr>
                <w:rFonts w:ascii="Times New Roman" w:eastAsia="Times New Roman" w:hAnsi="Times New Roman" w:cs="Times New Roman"/>
                <w:color w:val="0D0D0D" w:themeColor="text1" w:themeTint="F2"/>
                <w:lang w:val="en-US" w:eastAsia="en-US"/>
              </w:rPr>
            </w:pPr>
            <w:r w:rsidRPr="00E87EE5">
              <w:rPr>
                <w:rFonts w:ascii="Times New Roman" w:eastAsia="Times New Roman" w:hAnsi="Times New Roman" w:cs="Times New Roman"/>
                <w:color w:val="0D0D0D" w:themeColor="text1" w:themeTint="F2"/>
                <w:lang w:eastAsia="en-US"/>
              </w:rPr>
              <w:t>- Thường trực HĐND tỉnh;</w:t>
            </w:r>
          </w:p>
          <w:p w:rsidR="00E87EE5" w:rsidRPr="00E87EE5" w:rsidRDefault="00E87EE5" w:rsidP="006651EA">
            <w:pPr>
              <w:widowControl/>
              <w:rPr>
                <w:rFonts w:ascii="Times New Roman" w:eastAsia="Times New Roman" w:hAnsi="Times New Roman" w:cs="Times New Roman"/>
                <w:color w:val="0D0D0D" w:themeColor="text1" w:themeTint="F2"/>
                <w:lang w:val="en-US" w:eastAsia="en-US"/>
              </w:rPr>
            </w:pPr>
            <w:r w:rsidRPr="00E87EE5">
              <w:rPr>
                <w:rFonts w:ascii="Times New Roman" w:eastAsia="Times New Roman" w:hAnsi="Times New Roman" w:cs="Times New Roman"/>
                <w:color w:val="0D0D0D" w:themeColor="text1" w:themeTint="F2"/>
                <w:lang w:val="en-US" w:eastAsia="en-US"/>
              </w:rPr>
              <w:t>- Sở Tư pháp;</w:t>
            </w:r>
          </w:p>
          <w:p w:rsidR="00E87EE5" w:rsidRPr="00E87EE5" w:rsidRDefault="00E87EE5" w:rsidP="006651EA">
            <w:pPr>
              <w:widowControl/>
              <w:rPr>
                <w:rFonts w:ascii="Times New Roman" w:eastAsia="Times New Roman" w:hAnsi="Times New Roman" w:cs="Times New Roman"/>
                <w:color w:val="0D0D0D" w:themeColor="text1" w:themeTint="F2"/>
                <w:lang w:val="en-US" w:eastAsia="en-US"/>
              </w:rPr>
            </w:pPr>
            <w:r w:rsidRPr="00E87EE5">
              <w:rPr>
                <w:rFonts w:ascii="Times New Roman" w:eastAsia="Times New Roman" w:hAnsi="Times New Roman" w:cs="Times New Roman"/>
                <w:color w:val="0D0D0D" w:themeColor="text1" w:themeTint="F2"/>
                <w:lang w:val="en-US" w:eastAsia="en-US"/>
              </w:rPr>
              <w:t>- Báo và phát thanh, truyền hình Đồng Nai;</w:t>
            </w:r>
          </w:p>
          <w:p w:rsidR="00E87EE5" w:rsidRPr="00E87EE5" w:rsidRDefault="00E87EE5" w:rsidP="006651EA">
            <w:pPr>
              <w:widowControl/>
              <w:rPr>
                <w:rFonts w:ascii="Times New Roman" w:eastAsia="Times New Roman" w:hAnsi="Times New Roman" w:cs="Times New Roman"/>
                <w:color w:val="0D0D0D" w:themeColor="text1" w:themeTint="F2"/>
                <w:lang w:val="en-US" w:eastAsia="en-US"/>
              </w:rPr>
            </w:pPr>
            <w:r w:rsidRPr="00E87EE5">
              <w:rPr>
                <w:rFonts w:ascii="Times New Roman" w:eastAsia="Times New Roman" w:hAnsi="Times New Roman" w:cs="Times New Roman"/>
                <w:color w:val="0D0D0D" w:themeColor="text1" w:themeTint="F2"/>
                <w:lang w:val="en-US" w:eastAsia="en-US"/>
              </w:rPr>
              <w:t>- Công báo điện tử tỉnh;</w:t>
            </w:r>
          </w:p>
          <w:p w:rsidR="00E87EE5" w:rsidRPr="00E87EE5" w:rsidRDefault="00E87EE5" w:rsidP="006651EA">
            <w:pPr>
              <w:widowControl/>
              <w:rPr>
                <w:rFonts w:ascii="Times New Roman" w:eastAsia="Times New Roman" w:hAnsi="Times New Roman" w:cs="Times New Roman"/>
                <w:color w:val="0D0D0D" w:themeColor="text1" w:themeTint="F2"/>
                <w:lang w:val="en-US" w:eastAsia="en-US"/>
              </w:rPr>
            </w:pPr>
            <w:r w:rsidRPr="00E87EE5">
              <w:rPr>
                <w:rFonts w:ascii="Times New Roman" w:eastAsia="Times New Roman" w:hAnsi="Times New Roman" w:cs="Times New Roman"/>
                <w:color w:val="0D0D0D" w:themeColor="text1" w:themeTint="F2"/>
                <w:lang w:val="en-US" w:eastAsia="en-US"/>
              </w:rPr>
              <w:t>- Lưu: VT, KTN.</w:t>
            </w:r>
          </w:p>
          <w:p w:rsidR="00E87EE5" w:rsidRPr="00E87EE5" w:rsidRDefault="00E87EE5" w:rsidP="006651EA">
            <w:pPr>
              <w:rPr>
                <w:rFonts w:ascii="Times New Roman" w:eastAsia="Times New Roman" w:hAnsi="Times New Roman" w:cs="Times New Roman"/>
                <w:color w:val="0D0D0D" w:themeColor="text1" w:themeTint="F2"/>
                <w:sz w:val="27"/>
                <w:szCs w:val="27"/>
              </w:rPr>
            </w:pPr>
          </w:p>
        </w:tc>
        <w:tc>
          <w:tcPr>
            <w:tcW w:w="4428" w:type="dxa"/>
          </w:tcPr>
          <w:p w:rsidR="00E87EE5" w:rsidRPr="00E87EE5" w:rsidRDefault="00E87EE5" w:rsidP="006651EA">
            <w:pPr>
              <w:jc w:val="center"/>
              <w:rPr>
                <w:rFonts w:ascii="Times New Roman" w:eastAsia="Times New Roman" w:hAnsi="Times New Roman" w:cs="Times New Roman"/>
                <w:i/>
                <w:color w:val="0D0D0D" w:themeColor="text1" w:themeTint="F2"/>
                <w:sz w:val="28"/>
                <w:szCs w:val="28"/>
              </w:rPr>
            </w:pPr>
            <w:r w:rsidRPr="00E87EE5">
              <w:rPr>
                <w:rFonts w:ascii="Times New Roman" w:eastAsia="Times New Roman" w:hAnsi="Times New Roman" w:cs="Times New Roman"/>
                <w:b/>
                <w:color w:val="0D0D0D" w:themeColor="text1" w:themeTint="F2"/>
                <w:sz w:val="28"/>
                <w:szCs w:val="28"/>
              </w:rPr>
              <w:t>TM. ỦY BAN NHÂN DÂN</w:t>
            </w:r>
            <w:r w:rsidRPr="00E87EE5">
              <w:rPr>
                <w:rFonts w:ascii="Times New Roman" w:eastAsia="Times New Roman" w:hAnsi="Times New Roman" w:cs="Times New Roman"/>
                <w:b/>
                <w:color w:val="0D0D0D" w:themeColor="text1" w:themeTint="F2"/>
                <w:sz w:val="28"/>
                <w:szCs w:val="28"/>
              </w:rPr>
              <w:br/>
              <w:t>CHỦ TỊCH</w:t>
            </w:r>
          </w:p>
          <w:p w:rsidR="00E87EE5" w:rsidRPr="00E87EE5" w:rsidRDefault="00E87EE5" w:rsidP="006651EA">
            <w:pPr>
              <w:jc w:val="center"/>
              <w:rPr>
                <w:rFonts w:ascii="Times New Roman" w:eastAsia="Times New Roman" w:hAnsi="Times New Roman" w:cs="Times New Roman"/>
                <w:i/>
                <w:color w:val="0D0D0D" w:themeColor="text1" w:themeTint="F2"/>
                <w:sz w:val="28"/>
                <w:szCs w:val="28"/>
              </w:rPr>
            </w:pPr>
          </w:p>
          <w:p w:rsidR="00E87EE5" w:rsidRPr="00E87EE5" w:rsidRDefault="00E87EE5" w:rsidP="006651EA">
            <w:pPr>
              <w:jc w:val="center"/>
              <w:rPr>
                <w:rFonts w:ascii="Times New Roman" w:eastAsia="Times New Roman" w:hAnsi="Times New Roman" w:cs="Times New Roman"/>
                <w:i/>
                <w:color w:val="0D0D0D" w:themeColor="text1" w:themeTint="F2"/>
                <w:sz w:val="28"/>
                <w:szCs w:val="28"/>
              </w:rPr>
            </w:pPr>
          </w:p>
          <w:p w:rsidR="00E87EE5" w:rsidRPr="00E87EE5" w:rsidRDefault="00E87EE5" w:rsidP="006651EA">
            <w:pPr>
              <w:jc w:val="center"/>
              <w:rPr>
                <w:rFonts w:ascii="Times New Roman" w:eastAsia="Times New Roman" w:hAnsi="Times New Roman" w:cs="Times New Roman"/>
                <w:b/>
                <w:color w:val="0D0D0D" w:themeColor="text1" w:themeTint="F2"/>
                <w:sz w:val="28"/>
                <w:szCs w:val="28"/>
              </w:rPr>
            </w:pPr>
          </w:p>
          <w:p w:rsidR="00E87EE5" w:rsidRPr="00E87EE5" w:rsidRDefault="00E87EE5" w:rsidP="006651EA">
            <w:pPr>
              <w:jc w:val="center"/>
              <w:rPr>
                <w:rFonts w:ascii="Times New Roman" w:eastAsia="Times New Roman" w:hAnsi="Times New Roman" w:cs="Times New Roman"/>
                <w:b/>
                <w:color w:val="0D0D0D" w:themeColor="text1" w:themeTint="F2"/>
                <w:sz w:val="28"/>
                <w:szCs w:val="28"/>
              </w:rPr>
            </w:pPr>
          </w:p>
          <w:p w:rsidR="00E87EE5" w:rsidRPr="00E87EE5" w:rsidRDefault="00E87EE5" w:rsidP="006651EA">
            <w:pPr>
              <w:jc w:val="center"/>
              <w:rPr>
                <w:rFonts w:ascii="Times New Roman" w:eastAsia="Times New Roman" w:hAnsi="Times New Roman" w:cs="Times New Roman"/>
                <w:b/>
                <w:color w:val="0D0D0D" w:themeColor="text1" w:themeTint="F2"/>
                <w:sz w:val="28"/>
                <w:szCs w:val="28"/>
              </w:rPr>
            </w:pPr>
          </w:p>
          <w:p w:rsidR="00E87EE5" w:rsidRPr="00E87EE5" w:rsidRDefault="00E87EE5" w:rsidP="006651EA">
            <w:pPr>
              <w:jc w:val="center"/>
              <w:rPr>
                <w:rFonts w:ascii="Times New Roman" w:eastAsia="Times New Roman" w:hAnsi="Times New Roman" w:cs="Times New Roman"/>
                <w:b/>
                <w:color w:val="0D0D0D" w:themeColor="text1" w:themeTint="F2"/>
                <w:sz w:val="28"/>
                <w:szCs w:val="28"/>
              </w:rPr>
            </w:pPr>
          </w:p>
          <w:p w:rsidR="00E87EE5" w:rsidRPr="00E87EE5" w:rsidRDefault="00E87EE5" w:rsidP="006651EA">
            <w:pPr>
              <w:jc w:val="center"/>
              <w:rPr>
                <w:rFonts w:ascii="Times New Roman" w:eastAsia="Times New Roman" w:hAnsi="Times New Roman" w:cs="Times New Roman"/>
                <w:b/>
                <w:color w:val="0D0D0D" w:themeColor="text1" w:themeTint="F2"/>
                <w:sz w:val="28"/>
                <w:szCs w:val="28"/>
              </w:rPr>
            </w:pPr>
          </w:p>
        </w:tc>
      </w:tr>
    </w:tbl>
    <w:p w:rsidR="009C762D" w:rsidRPr="00E87EE5" w:rsidRDefault="009C762D">
      <w:pPr>
        <w:rPr>
          <w:color w:val="0D0D0D" w:themeColor="text1" w:themeTint="F2"/>
        </w:rPr>
      </w:pPr>
    </w:p>
    <w:sectPr w:rsidR="009C762D" w:rsidRPr="00E87EE5" w:rsidSect="0025038B">
      <w:headerReference w:type="default" r:id="rId7"/>
      <w:pgSz w:w="12240" w:h="15840"/>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F6" w:rsidRDefault="00DB23F6" w:rsidP="0025038B">
      <w:r>
        <w:separator/>
      </w:r>
    </w:p>
  </w:endnote>
  <w:endnote w:type="continuationSeparator" w:id="0">
    <w:p w:rsidR="00DB23F6" w:rsidRDefault="00DB23F6" w:rsidP="0025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F6" w:rsidRDefault="00DB23F6" w:rsidP="0025038B">
      <w:r>
        <w:separator/>
      </w:r>
    </w:p>
  </w:footnote>
  <w:footnote w:type="continuationSeparator" w:id="0">
    <w:p w:rsidR="00DB23F6" w:rsidRDefault="00DB23F6" w:rsidP="002503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314335"/>
      <w:docPartObj>
        <w:docPartGallery w:val="Page Numbers (Top of Page)"/>
        <w:docPartUnique/>
      </w:docPartObj>
    </w:sdtPr>
    <w:sdtEndPr>
      <w:rPr>
        <w:rFonts w:ascii="Times New Roman" w:hAnsi="Times New Roman" w:cs="Times New Roman"/>
        <w:noProof/>
      </w:rPr>
    </w:sdtEndPr>
    <w:sdtContent>
      <w:p w:rsidR="0025038B" w:rsidRPr="0025038B" w:rsidRDefault="0025038B" w:rsidP="0025038B">
        <w:pPr>
          <w:pStyle w:val="Header"/>
          <w:jc w:val="center"/>
          <w:rPr>
            <w:rFonts w:ascii="Times New Roman" w:hAnsi="Times New Roman" w:cs="Times New Roman"/>
          </w:rPr>
        </w:pPr>
        <w:r w:rsidRPr="0025038B">
          <w:rPr>
            <w:rFonts w:ascii="Times New Roman" w:hAnsi="Times New Roman" w:cs="Times New Roman"/>
          </w:rPr>
          <w:fldChar w:fldCharType="begin"/>
        </w:r>
        <w:r w:rsidRPr="0025038B">
          <w:rPr>
            <w:rFonts w:ascii="Times New Roman" w:hAnsi="Times New Roman" w:cs="Times New Roman"/>
          </w:rPr>
          <w:instrText xml:space="preserve"> PAGE   \* MERGEFORMAT </w:instrText>
        </w:r>
        <w:r w:rsidRPr="0025038B">
          <w:rPr>
            <w:rFonts w:ascii="Times New Roman" w:hAnsi="Times New Roman" w:cs="Times New Roman"/>
          </w:rPr>
          <w:fldChar w:fldCharType="separate"/>
        </w:r>
        <w:r w:rsidR="00CD2222">
          <w:rPr>
            <w:rFonts w:ascii="Times New Roman" w:hAnsi="Times New Roman" w:cs="Times New Roman"/>
            <w:noProof/>
          </w:rPr>
          <w:t>2</w:t>
        </w:r>
        <w:r w:rsidRPr="0025038B">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E5"/>
    <w:rsid w:val="00113470"/>
    <w:rsid w:val="0025038B"/>
    <w:rsid w:val="00590AEC"/>
    <w:rsid w:val="009C762D"/>
    <w:rsid w:val="00CD2222"/>
    <w:rsid w:val="00DB23F6"/>
    <w:rsid w:val="00E8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7598"/>
  <w15:chartTrackingRefBased/>
  <w15:docId w15:val="{CFFB030E-727E-4C01-823B-6007F8D2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EE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EE5"/>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25038B"/>
    <w:pPr>
      <w:tabs>
        <w:tab w:val="center" w:pos="4680"/>
        <w:tab w:val="right" w:pos="9360"/>
      </w:tabs>
    </w:pPr>
  </w:style>
  <w:style w:type="character" w:customStyle="1" w:styleId="HeaderChar">
    <w:name w:val="Header Char"/>
    <w:basedOn w:val="DefaultParagraphFont"/>
    <w:link w:val="Header"/>
    <w:uiPriority w:val="99"/>
    <w:rsid w:val="0025038B"/>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25038B"/>
    <w:pPr>
      <w:tabs>
        <w:tab w:val="center" w:pos="4680"/>
        <w:tab w:val="right" w:pos="9360"/>
      </w:tabs>
    </w:pPr>
  </w:style>
  <w:style w:type="character" w:customStyle="1" w:styleId="FooterChar">
    <w:name w:val="Footer Char"/>
    <w:basedOn w:val="DefaultParagraphFont"/>
    <w:link w:val="Footer"/>
    <w:uiPriority w:val="99"/>
    <w:rsid w:val="0025038B"/>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A6C2-CD06-45E0-8C71-3842A6FC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2026-04-22T04:11:00Z</dcterms:created>
  <dcterms:modified xsi:type="dcterms:W3CDTF">2026-04-22T08:11:00Z</dcterms:modified>
</cp:coreProperties>
</file>