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bottom w:val="nil"/>
          <w:insideH w:val="nil"/>
          <w:insideV w:val="nil"/>
        </w:tblBorders>
        <w:tblCellMar>
          <w:left w:w="0" w:type="dxa"/>
          <w:right w:w="0" w:type="dxa"/>
        </w:tblCellMar>
        <w:tblLook w:val="04A0"/>
      </w:tblPr>
      <w:tblGrid>
        <w:gridCol w:w="5517"/>
        <w:gridCol w:w="8987"/>
      </w:tblGrid>
      <w:tr w:rsidR="008A4B1B" w:rsidRPr="002E4239" w:rsidTr="008A4B1B">
        <w:tc>
          <w:tcPr>
            <w:tcW w:w="5805" w:type="dxa"/>
            <w:tcBorders>
              <w:top w:val="nil"/>
              <w:left w:val="nil"/>
              <w:bottom w:val="nil"/>
              <w:right w:val="nil"/>
              <w:tl2br w:val="nil"/>
              <w:tr2bl w:val="nil"/>
            </w:tcBorders>
            <w:shd w:val="clear" w:color="auto" w:fill="auto"/>
            <w:tcMar>
              <w:top w:w="0" w:type="dxa"/>
              <w:left w:w="108" w:type="dxa"/>
              <w:bottom w:w="0" w:type="dxa"/>
              <w:right w:w="108" w:type="dxa"/>
            </w:tcMar>
          </w:tcPr>
          <w:p w:rsidR="008A4B1B" w:rsidRPr="002E4239" w:rsidRDefault="005769D0" w:rsidP="008A4B1B">
            <w:pPr>
              <w:spacing w:before="120"/>
              <w:jc w:val="center"/>
              <w:rPr>
                <w:rFonts w:ascii="Times New Roman" w:hAnsi="Times New Roman" w:cs="Times New Roman"/>
                <w:color w:val="auto"/>
                <w:sz w:val="28"/>
                <w:szCs w:val="28"/>
              </w:rPr>
            </w:pPr>
            <w:r w:rsidRPr="005769D0">
              <w:rPr>
                <w:rFonts w:ascii="Times New Roman" w:hAnsi="Times New Roman" w:cs="Times New Roman"/>
                <w:bCs/>
                <w:noProof/>
                <w:color w:val="auto"/>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68.25pt;margin-top:39.75pt;width:124.2pt;height:0;z-index:251660288" o:connectortype="straight"/>
              </w:pict>
            </w:r>
            <w:r w:rsidR="008A4B1B" w:rsidRPr="002E4239">
              <w:rPr>
                <w:rFonts w:ascii="Times New Roman" w:hAnsi="Times New Roman" w:cs="Times New Roman"/>
                <w:bCs/>
                <w:color w:val="auto"/>
                <w:sz w:val="28"/>
                <w:szCs w:val="28"/>
                <w:lang w:val="en-US"/>
              </w:rPr>
              <w:t>UBND TỈNH ĐỒNG NAI</w:t>
            </w:r>
            <w:r w:rsidR="008A4B1B" w:rsidRPr="002E4239">
              <w:rPr>
                <w:rFonts w:ascii="Times New Roman" w:hAnsi="Times New Roman" w:cs="Times New Roman"/>
                <w:b/>
                <w:bCs/>
                <w:color w:val="auto"/>
                <w:sz w:val="28"/>
                <w:szCs w:val="28"/>
              </w:rPr>
              <w:br/>
            </w:r>
            <w:r w:rsidR="008A4B1B" w:rsidRPr="002E4239">
              <w:rPr>
                <w:rFonts w:ascii="Times New Roman" w:hAnsi="Times New Roman" w:cs="Times New Roman"/>
                <w:b/>
                <w:bCs/>
                <w:color w:val="auto"/>
                <w:sz w:val="28"/>
                <w:szCs w:val="28"/>
                <w:lang w:val="en-US"/>
              </w:rPr>
              <w:t>SỞ NÔNG NGHIỆP VÀ MÔI TRƯỜNG</w:t>
            </w:r>
            <w:r w:rsidR="008A4B1B" w:rsidRPr="002E4239">
              <w:rPr>
                <w:rFonts w:ascii="Times New Roman" w:hAnsi="Times New Roman" w:cs="Times New Roman"/>
                <w:b/>
                <w:bCs/>
                <w:color w:val="auto"/>
                <w:sz w:val="28"/>
                <w:szCs w:val="28"/>
              </w:rPr>
              <w:br/>
            </w:r>
          </w:p>
        </w:tc>
        <w:tc>
          <w:tcPr>
            <w:tcW w:w="9549" w:type="dxa"/>
            <w:tcBorders>
              <w:top w:val="nil"/>
              <w:left w:val="nil"/>
              <w:bottom w:val="nil"/>
              <w:right w:val="nil"/>
              <w:tl2br w:val="nil"/>
              <w:tr2bl w:val="nil"/>
            </w:tcBorders>
            <w:shd w:val="clear" w:color="auto" w:fill="auto"/>
            <w:tcMar>
              <w:top w:w="0" w:type="dxa"/>
              <w:left w:w="108" w:type="dxa"/>
              <w:bottom w:w="0" w:type="dxa"/>
              <w:right w:w="108" w:type="dxa"/>
            </w:tcMar>
          </w:tcPr>
          <w:p w:rsidR="008A4B1B" w:rsidRPr="002E4239" w:rsidRDefault="005769D0" w:rsidP="000938F4">
            <w:pPr>
              <w:spacing w:before="120"/>
              <w:jc w:val="center"/>
              <w:rPr>
                <w:rFonts w:ascii="Times New Roman" w:hAnsi="Times New Roman" w:cs="Times New Roman"/>
                <w:color w:val="auto"/>
                <w:sz w:val="28"/>
                <w:szCs w:val="28"/>
              </w:rPr>
            </w:pPr>
            <w:r w:rsidRPr="005769D0">
              <w:rPr>
                <w:rFonts w:ascii="Times New Roman" w:hAnsi="Times New Roman" w:cs="Times New Roman"/>
                <w:b/>
                <w:bCs/>
                <w:noProof/>
                <w:color w:val="auto"/>
                <w:sz w:val="26"/>
                <w:szCs w:val="26"/>
              </w:rPr>
              <w:pict>
                <v:shape id="_x0000_s1027" type="#_x0000_t32" style="position:absolute;left:0;text-align:left;margin-left:134.85pt;margin-top:38.25pt;width:168.4pt;height:0;z-index:251661312;mso-position-horizontal-relative:text;mso-position-vertical-relative:text" o:connectortype="straight"/>
              </w:pict>
            </w:r>
            <w:r w:rsidR="008A4B1B" w:rsidRPr="002E4239">
              <w:rPr>
                <w:rFonts w:ascii="Times New Roman" w:hAnsi="Times New Roman" w:cs="Times New Roman"/>
                <w:b/>
                <w:bCs/>
                <w:color w:val="auto"/>
                <w:sz w:val="26"/>
                <w:szCs w:val="26"/>
              </w:rPr>
              <w:t>CỘNG HÒA XÃ HỘI CHỦ NGHĨA VIỆT NAM</w:t>
            </w:r>
            <w:r w:rsidR="008A4B1B" w:rsidRPr="002E4239">
              <w:rPr>
                <w:rFonts w:ascii="Times New Roman" w:hAnsi="Times New Roman" w:cs="Times New Roman"/>
                <w:b/>
                <w:bCs/>
                <w:color w:val="auto"/>
                <w:sz w:val="26"/>
                <w:szCs w:val="26"/>
              </w:rPr>
              <w:br/>
            </w:r>
            <w:r w:rsidR="008A4B1B" w:rsidRPr="002E4239">
              <w:rPr>
                <w:rFonts w:ascii="Times New Roman" w:hAnsi="Times New Roman" w:cs="Times New Roman"/>
                <w:b/>
                <w:bCs/>
                <w:color w:val="auto"/>
                <w:sz w:val="28"/>
                <w:szCs w:val="28"/>
              </w:rPr>
              <w:t xml:space="preserve">Độc lập - Tự do - Hạnh phúc </w:t>
            </w:r>
            <w:r w:rsidR="008A4B1B" w:rsidRPr="002E4239">
              <w:rPr>
                <w:rFonts w:ascii="Times New Roman" w:hAnsi="Times New Roman" w:cs="Times New Roman"/>
                <w:b/>
                <w:bCs/>
                <w:color w:val="auto"/>
                <w:sz w:val="28"/>
                <w:szCs w:val="28"/>
              </w:rPr>
              <w:br/>
            </w:r>
          </w:p>
        </w:tc>
      </w:tr>
      <w:tr w:rsidR="008A4B1B" w:rsidRPr="002E4239" w:rsidTr="008A4B1B">
        <w:tblPrEx>
          <w:tblBorders>
            <w:top w:val="none" w:sz="0" w:space="0" w:color="auto"/>
            <w:bottom w:val="none" w:sz="0" w:space="0" w:color="auto"/>
            <w:insideH w:val="none" w:sz="0" w:space="0" w:color="auto"/>
            <w:insideV w:val="none" w:sz="0" w:space="0" w:color="auto"/>
          </w:tblBorders>
        </w:tblPrEx>
        <w:tc>
          <w:tcPr>
            <w:tcW w:w="5805" w:type="dxa"/>
            <w:tcBorders>
              <w:top w:val="nil"/>
              <w:left w:val="nil"/>
              <w:bottom w:val="nil"/>
              <w:right w:val="nil"/>
              <w:tl2br w:val="nil"/>
              <w:tr2bl w:val="nil"/>
            </w:tcBorders>
            <w:shd w:val="clear" w:color="auto" w:fill="auto"/>
            <w:tcMar>
              <w:top w:w="0" w:type="dxa"/>
              <w:left w:w="108" w:type="dxa"/>
              <w:bottom w:w="0" w:type="dxa"/>
              <w:right w:w="108" w:type="dxa"/>
            </w:tcMar>
          </w:tcPr>
          <w:p w:rsidR="008A4B1B" w:rsidRPr="002E4239" w:rsidRDefault="008A4B1B" w:rsidP="000938F4">
            <w:pPr>
              <w:spacing w:before="120"/>
              <w:jc w:val="center"/>
              <w:rPr>
                <w:rFonts w:ascii="Times New Roman" w:hAnsi="Times New Roman" w:cs="Times New Roman"/>
                <w:color w:val="auto"/>
                <w:sz w:val="28"/>
                <w:szCs w:val="28"/>
              </w:rPr>
            </w:pPr>
          </w:p>
        </w:tc>
        <w:tc>
          <w:tcPr>
            <w:tcW w:w="9549" w:type="dxa"/>
            <w:tcBorders>
              <w:top w:val="nil"/>
              <w:left w:val="nil"/>
              <w:bottom w:val="nil"/>
              <w:right w:val="nil"/>
              <w:tl2br w:val="nil"/>
              <w:tr2bl w:val="nil"/>
            </w:tcBorders>
            <w:shd w:val="clear" w:color="auto" w:fill="auto"/>
            <w:tcMar>
              <w:top w:w="0" w:type="dxa"/>
              <w:left w:w="108" w:type="dxa"/>
              <w:bottom w:w="0" w:type="dxa"/>
              <w:right w:w="108" w:type="dxa"/>
            </w:tcMar>
          </w:tcPr>
          <w:p w:rsidR="008A4B1B" w:rsidRPr="002E4239" w:rsidRDefault="008A4B1B" w:rsidP="000938F4">
            <w:pPr>
              <w:spacing w:before="120"/>
              <w:jc w:val="right"/>
              <w:rPr>
                <w:rFonts w:ascii="Times New Roman" w:hAnsi="Times New Roman" w:cs="Times New Roman"/>
                <w:color w:val="auto"/>
                <w:sz w:val="28"/>
                <w:szCs w:val="28"/>
              </w:rPr>
            </w:pPr>
            <w:r w:rsidRPr="002E4239">
              <w:rPr>
                <w:rFonts w:ascii="Times New Roman" w:hAnsi="Times New Roman" w:cs="Times New Roman"/>
                <w:i/>
                <w:iCs/>
                <w:color w:val="auto"/>
                <w:sz w:val="28"/>
                <w:szCs w:val="28"/>
              </w:rPr>
              <w:t xml:space="preserve">Đồng Nai, ngày     </w:t>
            </w:r>
            <w:r w:rsidR="00187DB0" w:rsidRPr="002E4239">
              <w:rPr>
                <w:rFonts w:ascii="Times New Roman" w:hAnsi="Times New Roman" w:cs="Times New Roman"/>
                <w:i/>
                <w:iCs/>
                <w:color w:val="auto"/>
                <w:sz w:val="28"/>
                <w:szCs w:val="28"/>
                <w:lang w:val="en-US"/>
              </w:rPr>
              <w:t xml:space="preserve">     </w:t>
            </w:r>
            <w:r w:rsidRPr="002E4239">
              <w:rPr>
                <w:rFonts w:ascii="Times New Roman" w:hAnsi="Times New Roman" w:cs="Times New Roman"/>
                <w:i/>
                <w:iCs/>
                <w:color w:val="auto"/>
                <w:sz w:val="28"/>
                <w:szCs w:val="28"/>
              </w:rPr>
              <w:t xml:space="preserve"> tháng     </w:t>
            </w:r>
            <w:r w:rsidR="00187DB0" w:rsidRPr="002E4239">
              <w:rPr>
                <w:rFonts w:ascii="Times New Roman" w:hAnsi="Times New Roman" w:cs="Times New Roman"/>
                <w:i/>
                <w:iCs/>
                <w:color w:val="auto"/>
                <w:sz w:val="28"/>
                <w:szCs w:val="28"/>
                <w:lang w:val="en-US"/>
              </w:rPr>
              <w:t xml:space="preserve">    </w:t>
            </w:r>
            <w:r w:rsidRPr="002E4239">
              <w:rPr>
                <w:rFonts w:ascii="Times New Roman" w:hAnsi="Times New Roman" w:cs="Times New Roman"/>
                <w:i/>
                <w:iCs/>
                <w:color w:val="auto"/>
                <w:sz w:val="28"/>
                <w:szCs w:val="28"/>
              </w:rPr>
              <w:t>năm 2025</w:t>
            </w:r>
          </w:p>
        </w:tc>
      </w:tr>
    </w:tbl>
    <w:p w:rsidR="008A4B1B" w:rsidRPr="002E4239" w:rsidRDefault="008A4B1B" w:rsidP="00BD6377">
      <w:pPr>
        <w:spacing w:before="120" w:after="120"/>
        <w:jc w:val="center"/>
        <w:rPr>
          <w:rFonts w:ascii="Times New Roman" w:hAnsi="Times New Roman" w:cs="Times New Roman"/>
          <w:b/>
          <w:bCs/>
          <w:color w:val="auto"/>
          <w:lang w:val="en-US"/>
        </w:rPr>
      </w:pPr>
    </w:p>
    <w:p w:rsidR="00373BE4" w:rsidRDefault="00BD6377" w:rsidP="009F34BE">
      <w:pPr>
        <w:spacing w:after="120"/>
        <w:jc w:val="center"/>
        <w:rPr>
          <w:rFonts w:ascii="Times New Roman" w:hAnsi="Times New Roman" w:cs="Times New Roman"/>
          <w:b/>
          <w:bCs/>
          <w:color w:val="auto"/>
          <w:sz w:val="28"/>
          <w:szCs w:val="28"/>
          <w:lang w:val="en-US"/>
        </w:rPr>
      </w:pPr>
      <w:r w:rsidRPr="002E4239">
        <w:rPr>
          <w:rFonts w:ascii="Times New Roman" w:hAnsi="Times New Roman" w:cs="Times New Roman"/>
          <w:b/>
          <w:bCs/>
          <w:color w:val="auto"/>
          <w:sz w:val="28"/>
          <w:szCs w:val="28"/>
          <w:lang w:val="en-US"/>
        </w:rPr>
        <w:t xml:space="preserve">BẢNG SO SÁNH QUYẾT ĐỊNH </w:t>
      </w:r>
      <w:r w:rsidR="008A4B1B" w:rsidRPr="002E4239">
        <w:rPr>
          <w:rFonts w:ascii="Times New Roman" w:hAnsi="Times New Roman" w:cs="Times New Roman"/>
          <w:b/>
          <w:bCs/>
          <w:color w:val="auto"/>
          <w:sz w:val="28"/>
          <w:szCs w:val="28"/>
          <w:lang w:val="en-US"/>
        </w:rPr>
        <w:t>SỐ 06/2025/QĐ-UBND NGÀY 12 THÁNG 12 NĂM 2025 CỦA UBND TỈNH BÌNH PHƯỚC (CŨ)</w:t>
      </w:r>
      <w:r w:rsidR="00F811E5" w:rsidRPr="002E4239">
        <w:rPr>
          <w:rFonts w:ascii="Times New Roman" w:hAnsi="Times New Roman" w:cs="Times New Roman"/>
          <w:b/>
          <w:bCs/>
          <w:color w:val="auto"/>
          <w:sz w:val="28"/>
          <w:szCs w:val="28"/>
          <w:lang w:val="en-US"/>
        </w:rPr>
        <w:t>,</w:t>
      </w:r>
      <w:r w:rsidR="008A4B1B" w:rsidRPr="002E4239">
        <w:rPr>
          <w:rFonts w:ascii="Times New Roman" w:hAnsi="Times New Roman" w:cs="Times New Roman"/>
          <w:b/>
          <w:bCs/>
          <w:color w:val="auto"/>
          <w:sz w:val="28"/>
          <w:szCs w:val="28"/>
          <w:lang w:val="en-US"/>
        </w:rPr>
        <w:t xml:space="preserve"> </w:t>
      </w:r>
      <w:r w:rsidR="00F811E5" w:rsidRPr="002E4239">
        <w:rPr>
          <w:rFonts w:ascii="Times New Roman" w:hAnsi="Times New Roman" w:cs="Times New Roman"/>
          <w:b/>
          <w:bCs/>
          <w:color w:val="auto"/>
          <w:sz w:val="28"/>
          <w:szCs w:val="28"/>
          <w:lang w:val="en-US"/>
        </w:rPr>
        <w:t xml:space="preserve">QUYẾT ĐỊNH SỐ 69/2024/QĐ-UBND NGÀY 08 THÁNG 11 NĂM 2024 CỦA UBND TỈNH ĐỒNG NAI (CŨ), </w:t>
      </w:r>
      <w:r w:rsidR="008A4B1B" w:rsidRPr="002E4239">
        <w:rPr>
          <w:rFonts w:ascii="Times New Roman" w:hAnsi="Times New Roman" w:cs="Times New Roman"/>
          <w:b/>
          <w:bCs/>
          <w:color w:val="auto"/>
          <w:sz w:val="28"/>
          <w:szCs w:val="28"/>
          <w:lang w:val="en-US"/>
        </w:rPr>
        <w:t>QUYẾT ĐỊNH SỐ 39/2025</w:t>
      </w:r>
      <w:r w:rsidRPr="002E4239">
        <w:rPr>
          <w:rFonts w:ascii="Times New Roman" w:hAnsi="Times New Roman" w:cs="Times New Roman"/>
          <w:b/>
          <w:bCs/>
          <w:color w:val="auto"/>
          <w:sz w:val="28"/>
          <w:szCs w:val="28"/>
          <w:lang w:val="en-US"/>
        </w:rPr>
        <w:t xml:space="preserve">/QĐ-UBND NGÀY </w:t>
      </w:r>
      <w:r w:rsidR="008A4B1B" w:rsidRPr="002E4239">
        <w:rPr>
          <w:rFonts w:ascii="Times New Roman" w:hAnsi="Times New Roman" w:cs="Times New Roman"/>
          <w:b/>
          <w:bCs/>
          <w:color w:val="auto"/>
          <w:sz w:val="28"/>
          <w:szCs w:val="28"/>
          <w:lang w:val="en-US"/>
        </w:rPr>
        <w:t>30</w:t>
      </w:r>
      <w:r w:rsidRPr="002E4239">
        <w:rPr>
          <w:rFonts w:ascii="Times New Roman" w:hAnsi="Times New Roman" w:cs="Times New Roman"/>
          <w:b/>
          <w:bCs/>
          <w:color w:val="auto"/>
          <w:sz w:val="28"/>
          <w:szCs w:val="28"/>
          <w:lang w:val="en-US"/>
        </w:rPr>
        <w:t xml:space="preserve"> THÁNG </w:t>
      </w:r>
      <w:r w:rsidR="008A4B1B" w:rsidRPr="002E4239">
        <w:rPr>
          <w:rFonts w:ascii="Times New Roman" w:hAnsi="Times New Roman" w:cs="Times New Roman"/>
          <w:b/>
          <w:bCs/>
          <w:color w:val="auto"/>
          <w:sz w:val="28"/>
          <w:szCs w:val="28"/>
          <w:lang w:val="en-US"/>
        </w:rPr>
        <w:t>6</w:t>
      </w:r>
      <w:r w:rsidRPr="002E4239">
        <w:rPr>
          <w:rFonts w:ascii="Times New Roman" w:hAnsi="Times New Roman" w:cs="Times New Roman"/>
          <w:b/>
          <w:bCs/>
          <w:color w:val="auto"/>
          <w:sz w:val="28"/>
          <w:szCs w:val="28"/>
          <w:lang w:val="en-US"/>
        </w:rPr>
        <w:t xml:space="preserve"> NĂM 202</w:t>
      </w:r>
      <w:r w:rsidR="008A4B1B" w:rsidRPr="002E4239">
        <w:rPr>
          <w:rFonts w:ascii="Times New Roman" w:hAnsi="Times New Roman" w:cs="Times New Roman"/>
          <w:b/>
          <w:bCs/>
          <w:color w:val="auto"/>
          <w:sz w:val="28"/>
          <w:szCs w:val="28"/>
          <w:lang w:val="en-US"/>
        </w:rPr>
        <w:t>5 CỦA UBND TỈNH ĐỒNG NAI</w:t>
      </w:r>
      <w:r w:rsidRPr="002E4239">
        <w:rPr>
          <w:rFonts w:ascii="Times New Roman" w:hAnsi="Times New Roman" w:cs="Times New Roman"/>
          <w:b/>
          <w:bCs/>
          <w:color w:val="auto"/>
          <w:sz w:val="28"/>
          <w:szCs w:val="28"/>
          <w:lang w:val="en-US"/>
        </w:rPr>
        <w:t xml:space="preserve"> </w:t>
      </w:r>
      <w:r w:rsidR="008A4B1B" w:rsidRPr="002E4239">
        <w:rPr>
          <w:rFonts w:ascii="Times New Roman" w:hAnsi="Times New Roman" w:cs="Times New Roman"/>
          <w:b/>
          <w:bCs/>
          <w:color w:val="auto"/>
          <w:sz w:val="28"/>
          <w:szCs w:val="28"/>
          <w:lang w:val="en-US"/>
        </w:rPr>
        <w:t xml:space="preserve">(CŨ) </w:t>
      </w:r>
      <w:r w:rsidRPr="002E4239">
        <w:rPr>
          <w:rFonts w:ascii="Times New Roman" w:hAnsi="Times New Roman" w:cs="Times New Roman"/>
          <w:b/>
          <w:bCs/>
          <w:color w:val="auto"/>
          <w:sz w:val="28"/>
          <w:szCs w:val="28"/>
          <w:lang w:val="en-US"/>
        </w:rPr>
        <w:t>VÀ DỰ THẢO SỬA ĐỔI, BỔ SUNG</w:t>
      </w:r>
      <w:r w:rsidR="008A4B1B" w:rsidRPr="002E4239">
        <w:rPr>
          <w:rFonts w:ascii="Times New Roman" w:hAnsi="Times New Roman" w:cs="Times New Roman"/>
          <w:b/>
          <w:bCs/>
          <w:color w:val="auto"/>
          <w:sz w:val="28"/>
          <w:szCs w:val="28"/>
          <w:lang w:val="en-US"/>
        </w:rPr>
        <w:t>, THAY THẾ</w:t>
      </w:r>
    </w:p>
    <w:p w:rsidR="009F34BE" w:rsidRPr="009F34BE" w:rsidRDefault="009F34BE" w:rsidP="009F34BE">
      <w:pPr>
        <w:spacing w:after="240"/>
        <w:jc w:val="center"/>
        <w:rPr>
          <w:rFonts w:ascii="Times New Roman" w:hAnsi="Times New Roman" w:cs="Times New Roman"/>
          <w:b/>
          <w:bCs/>
          <w:i/>
          <w:color w:val="auto"/>
          <w:sz w:val="28"/>
          <w:szCs w:val="28"/>
          <w:lang w:val="en-US"/>
        </w:rPr>
      </w:pPr>
      <w:r w:rsidRPr="009F34BE">
        <w:rPr>
          <w:rFonts w:ascii="Times New Roman" w:hAnsi="Times New Roman" w:cs="Times New Roman"/>
          <w:b/>
          <w:bCs/>
          <w:i/>
          <w:color w:val="auto"/>
          <w:sz w:val="28"/>
          <w:szCs w:val="28"/>
          <w:lang w:val="en-US"/>
        </w:rPr>
        <w:t>(Xin ý kiến)</w:t>
      </w:r>
    </w:p>
    <w:tbl>
      <w:tblPr>
        <w:tblOverlap w:val="never"/>
        <w:tblW w:w="511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ayout w:type="fixed"/>
        <w:tblCellMar>
          <w:left w:w="10" w:type="dxa"/>
          <w:right w:w="10" w:type="dxa"/>
        </w:tblCellMar>
        <w:tblLook w:val="04A0"/>
      </w:tblPr>
      <w:tblGrid>
        <w:gridCol w:w="2707"/>
        <w:gridCol w:w="3036"/>
        <w:gridCol w:w="2746"/>
        <w:gridCol w:w="3437"/>
        <w:gridCol w:w="2711"/>
      </w:tblGrid>
      <w:tr w:rsidR="009959E8" w:rsidRPr="002E4239" w:rsidTr="00F811E5">
        <w:trPr>
          <w:trHeight w:val="526"/>
          <w:tblHeader/>
          <w:jc w:val="center"/>
        </w:trPr>
        <w:tc>
          <w:tcPr>
            <w:tcW w:w="2900" w:type="pct"/>
            <w:gridSpan w:val="3"/>
            <w:shd w:val="clear" w:color="auto" w:fill="FFFFFF"/>
            <w:vAlign w:val="center"/>
          </w:tcPr>
          <w:p w:rsidR="009959E8" w:rsidRPr="002E4239" w:rsidRDefault="009959E8" w:rsidP="00EB103A">
            <w:pPr>
              <w:spacing w:before="60" w:after="60"/>
              <w:ind w:left="127" w:right="137"/>
              <w:jc w:val="center"/>
              <w:rPr>
                <w:rFonts w:ascii="Times New Roman" w:hAnsi="Times New Roman" w:cs="Times New Roman"/>
                <w:b/>
                <w:bCs/>
                <w:color w:val="auto"/>
              </w:rPr>
            </w:pPr>
            <w:r w:rsidRPr="002E4239">
              <w:rPr>
                <w:rFonts w:ascii="Times New Roman" w:hAnsi="Times New Roman" w:cs="Times New Roman"/>
                <w:b/>
                <w:bCs/>
                <w:color w:val="auto"/>
                <w:lang w:val="en-US"/>
              </w:rPr>
              <w:t>VĂN BẢN ĐƯỢC SỬA ĐỔI, BỔ SUNG, THAY THẾ</w:t>
            </w:r>
          </w:p>
        </w:tc>
        <w:tc>
          <w:tcPr>
            <w:tcW w:w="1174" w:type="pct"/>
            <w:vMerge w:val="restart"/>
            <w:shd w:val="clear" w:color="auto" w:fill="FFFFFF"/>
            <w:vAlign w:val="center"/>
          </w:tcPr>
          <w:p w:rsidR="009959E8" w:rsidRPr="002E4239" w:rsidRDefault="009959E8" w:rsidP="00EB103A">
            <w:pPr>
              <w:spacing w:before="60" w:after="60"/>
              <w:ind w:left="127" w:right="137"/>
              <w:jc w:val="center"/>
              <w:rPr>
                <w:rFonts w:ascii="Times New Roman" w:hAnsi="Times New Roman" w:cs="Times New Roman"/>
                <w:b/>
                <w:bCs/>
                <w:color w:val="auto"/>
              </w:rPr>
            </w:pPr>
            <w:r w:rsidRPr="002E4239">
              <w:rPr>
                <w:rFonts w:ascii="Times New Roman" w:hAnsi="Times New Roman" w:cs="Times New Roman"/>
                <w:b/>
                <w:bCs/>
                <w:color w:val="auto"/>
              </w:rPr>
              <w:t>D</w:t>
            </w:r>
            <w:r w:rsidRPr="002E4239">
              <w:rPr>
                <w:rFonts w:ascii="Times New Roman" w:hAnsi="Times New Roman" w:cs="Times New Roman"/>
                <w:b/>
                <w:bCs/>
                <w:color w:val="auto"/>
                <w:lang w:val="en-US"/>
              </w:rPr>
              <w:t>Ự</w:t>
            </w:r>
            <w:r w:rsidRPr="002E4239">
              <w:rPr>
                <w:rFonts w:ascii="Times New Roman" w:hAnsi="Times New Roman" w:cs="Times New Roman"/>
                <w:b/>
                <w:bCs/>
                <w:color w:val="auto"/>
              </w:rPr>
              <w:t xml:space="preserve"> THẢO VĂN BẢN</w:t>
            </w:r>
          </w:p>
        </w:tc>
        <w:tc>
          <w:tcPr>
            <w:tcW w:w="926" w:type="pct"/>
            <w:vMerge w:val="restart"/>
            <w:shd w:val="clear" w:color="auto" w:fill="FFFFFF"/>
            <w:vAlign w:val="center"/>
          </w:tcPr>
          <w:p w:rsidR="009959E8" w:rsidRPr="002E4239" w:rsidRDefault="009959E8" w:rsidP="00917D7F">
            <w:pPr>
              <w:spacing w:before="60" w:after="60"/>
              <w:ind w:right="41" w:firstLine="62"/>
              <w:jc w:val="center"/>
              <w:rPr>
                <w:rFonts w:ascii="Times New Roman" w:hAnsi="Times New Roman" w:cs="Times New Roman"/>
                <w:b/>
                <w:bCs/>
                <w:color w:val="auto"/>
              </w:rPr>
            </w:pPr>
            <w:r w:rsidRPr="002E4239">
              <w:rPr>
                <w:rFonts w:ascii="Times New Roman" w:hAnsi="Times New Roman" w:cs="Times New Roman"/>
                <w:b/>
                <w:bCs/>
                <w:color w:val="auto"/>
              </w:rPr>
              <w:t>THUYẾT MINH</w:t>
            </w:r>
          </w:p>
        </w:tc>
      </w:tr>
      <w:tr w:rsidR="00240796" w:rsidRPr="002E4239" w:rsidTr="00F811E5">
        <w:trPr>
          <w:trHeight w:val="20"/>
          <w:tblHeader/>
          <w:jc w:val="center"/>
        </w:trPr>
        <w:tc>
          <w:tcPr>
            <w:tcW w:w="925" w:type="pct"/>
            <w:shd w:val="clear" w:color="auto" w:fill="FFFFFF"/>
            <w:vAlign w:val="center"/>
          </w:tcPr>
          <w:p w:rsidR="009959E8" w:rsidRPr="002E4239" w:rsidRDefault="009959E8" w:rsidP="00917D7F">
            <w:pPr>
              <w:spacing w:before="60" w:after="60"/>
              <w:ind w:left="160" w:right="133"/>
              <w:jc w:val="center"/>
              <w:rPr>
                <w:rFonts w:ascii="Times New Roman" w:hAnsi="Times New Roman" w:cs="Times New Roman"/>
                <w:b/>
                <w:bCs/>
                <w:color w:val="auto"/>
              </w:rPr>
            </w:pPr>
            <w:r w:rsidRPr="002E4239">
              <w:rPr>
                <w:rFonts w:ascii="Times New Roman" w:hAnsi="Times New Roman" w:cs="Times New Roman"/>
                <w:b/>
                <w:bCs/>
                <w:color w:val="auto"/>
                <w:lang w:val="en-US"/>
              </w:rPr>
              <w:t>QUYẾT ĐỊNH SỐ 06/2025/QĐ-UBND NGÀY 12 THÁNG 12 NĂM 2025 CỦA UBND TỈNH BÌNH PHƯỚC (CŨ)</w:t>
            </w:r>
          </w:p>
        </w:tc>
        <w:tc>
          <w:tcPr>
            <w:tcW w:w="1037" w:type="pct"/>
            <w:shd w:val="clear" w:color="auto" w:fill="FFFFFF"/>
          </w:tcPr>
          <w:p w:rsidR="009959E8" w:rsidRPr="002E4239" w:rsidRDefault="009959E8" w:rsidP="00187DB0">
            <w:pPr>
              <w:spacing w:before="60" w:after="60"/>
              <w:ind w:left="127" w:right="137"/>
              <w:jc w:val="center"/>
              <w:rPr>
                <w:rFonts w:ascii="Times New Roman" w:hAnsi="Times New Roman" w:cs="Times New Roman"/>
                <w:b/>
                <w:bCs/>
                <w:color w:val="auto"/>
              </w:rPr>
            </w:pPr>
            <w:r w:rsidRPr="002E4239">
              <w:rPr>
                <w:rFonts w:ascii="Times New Roman" w:hAnsi="Times New Roman" w:cs="Times New Roman"/>
                <w:b/>
                <w:bCs/>
                <w:color w:val="auto"/>
                <w:lang w:val="en-US"/>
              </w:rPr>
              <w:t>QUYẾT ĐỊNH SỐ 69/2024/QĐ-UBND NGÀY 08 THÁNG 11 NĂM 2024 CỦA UBND TỈNH ĐỒNG NAI (CŨ)</w:t>
            </w:r>
          </w:p>
        </w:tc>
        <w:tc>
          <w:tcPr>
            <w:tcW w:w="938" w:type="pct"/>
            <w:shd w:val="clear" w:color="auto" w:fill="FFFFFF"/>
          </w:tcPr>
          <w:p w:rsidR="009959E8" w:rsidRPr="002E4239" w:rsidRDefault="009959E8" w:rsidP="00EB103A">
            <w:pPr>
              <w:spacing w:before="60" w:after="60"/>
              <w:ind w:left="127" w:right="137"/>
              <w:jc w:val="center"/>
              <w:rPr>
                <w:rFonts w:ascii="Times New Roman" w:hAnsi="Times New Roman" w:cs="Times New Roman"/>
                <w:b/>
                <w:bCs/>
                <w:color w:val="auto"/>
              </w:rPr>
            </w:pPr>
            <w:r w:rsidRPr="002E4239">
              <w:rPr>
                <w:rFonts w:ascii="Times New Roman" w:hAnsi="Times New Roman" w:cs="Times New Roman"/>
                <w:b/>
                <w:bCs/>
                <w:color w:val="auto"/>
                <w:lang w:val="en-US"/>
              </w:rPr>
              <w:t xml:space="preserve">QUYẾT ĐỊNH SỐ 39/2025/QĐ-UBND NGÀY 30 THÁNG 6 NĂM 2025 CỦA UBND TỈNH ĐỒNG NAI (CŨ) </w:t>
            </w:r>
          </w:p>
        </w:tc>
        <w:tc>
          <w:tcPr>
            <w:tcW w:w="1174" w:type="pct"/>
            <w:vMerge/>
            <w:shd w:val="clear" w:color="auto" w:fill="FFFFFF"/>
            <w:vAlign w:val="center"/>
          </w:tcPr>
          <w:p w:rsidR="009959E8" w:rsidRPr="002E4239" w:rsidRDefault="009959E8" w:rsidP="00EB103A">
            <w:pPr>
              <w:spacing w:before="60" w:after="60"/>
              <w:ind w:left="127" w:right="137"/>
              <w:jc w:val="center"/>
              <w:rPr>
                <w:rFonts w:ascii="Times New Roman" w:hAnsi="Times New Roman" w:cs="Times New Roman"/>
                <w:b/>
                <w:bCs/>
                <w:color w:val="auto"/>
              </w:rPr>
            </w:pPr>
          </w:p>
        </w:tc>
        <w:tc>
          <w:tcPr>
            <w:tcW w:w="926" w:type="pct"/>
            <w:vMerge/>
            <w:shd w:val="clear" w:color="auto" w:fill="FFFFFF"/>
            <w:vAlign w:val="center"/>
          </w:tcPr>
          <w:p w:rsidR="009959E8" w:rsidRPr="002E4239" w:rsidRDefault="009959E8" w:rsidP="00917D7F">
            <w:pPr>
              <w:spacing w:before="60" w:after="60"/>
              <w:ind w:right="41" w:firstLine="62"/>
              <w:jc w:val="center"/>
              <w:rPr>
                <w:rFonts w:ascii="Times New Roman" w:hAnsi="Times New Roman" w:cs="Times New Roman"/>
                <w:b/>
                <w:bCs/>
                <w:color w:val="auto"/>
              </w:rPr>
            </w:pPr>
          </w:p>
        </w:tc>
      </w:tr>
      <w:tr w:rsidR="00240796" w:rsidRPr="002E4239" w:rsidTr="00F811E5">
        <w:trPr>
          <w:trHeight w:val="20"/>
          <w:jc w:val="center"/>
        </w:trPr>
        <w:tc>
          <w:tcPr>
            <w:tcW w:w="925" w:type="pct"/>
            <w:shd w:val="clear" w:color="auto" w:fill="FFFFFF"/>
          </w:tcPr>
          <w:p w:rsidR="00187DB0" w:rsidRPr="002E4239" w:rsidRDefault="00187DB0" w:rsidP="00917D7F">
            <w:pPr>
              <w:spacing w:before="60" w:after="60"/>
              <w:ind w:left="160" w:right="133"/>
              <w:jc w:val="both"/>
              <w:rPr>
                <w:rFonts w:ascii="Times New Roman" w:hAnsi="Times New Roman" w:cs="Times New Roman"/>
                <w:b/>
                <w:bCs/>
                <w:color w:val="auto"/>
                <w:shd w:val="clear" w:color="auto" w:fill="FFFFFF"/>
                <w:lang w:val="en-US"/>
              </w:rPr>
            </w:pPr>
            <w:r w:rsidRPr="002E4239">
              <w:rPr>
                <w:rFonts w:ascii="Times New Roman" w:hAnsi="Times New Roman" w:cs="Times New Roman"/>
                <w:b/>
                <w:bCs/>
                <w:color w:val="auto"/>
                <w:shd w:val="clear" w:color="auto" w:fill="FFFFFF"/>
                <w:lang w:val="en-US"/>
              </w:rPr>
              <w:t>Điều 1</w:t>
            </w:r>
            <w:r w:rsidR="009959E8" w:rsidRPr="002E4239">
              <w:rPr>
                <w:rFonts w:ascii="Times New Roman" w:hAnsi="Times New Roman" w:cs="Times New Roman"/>
                <w:b/>
                <w:bCs/>
                <w:color w:val="auto"/>
                <w:shd w:val="clear" w:color="auto" w:fill="FFFFFF"/>
                <w:lang w:val="en-US"/>
              </w:rPr>
              <w:t xml:space="preserve">. </w:t>
            </w:r>
            <w:r w:rsidR="009959E8" w:rsidRPr="002E4239">
              <w:rPr>
                <w:rFonts w:ascii="Times New Roman" w:hAnsi="Times New Roman" w:cs="Times New Roman"/>
                <w:color w:val="auto"/>
              </w:rPr>
              <w:t xml:space="preserve">Quyết định này Quy định một số yếu tố ước tính doanh thu phát triển, chi phí phát triển của thửa đất, khu đất cần định giá theo phương pháp thặng dư quy định tại điểm đ khoản 2 Điều 6 và điểm đ khoản 3 Điều 6 Nghị định số 71/2024/NĐ-CP </w:t>
            </w:r>
            <w:r w:rsidR="009959E8" w:rsidRPr="002E4239">
              <w:rPr>
                <w:rFonts w:ascii="Times New Roman" w:hAnsi="Times New Roman" w:cs="Times New Roman"/>
                <w:color w:val="auto"/>
              </w:rPr>
              <w:lastRenderedPageBreak/>
              <w:t>ngày 27 tháng 6 năm 2024 của Chính phủ; quy định các yếu tố ảnh hưởng đến giá đất trong việc xác định giá đất cụ thể theo quy định tại khoản 3 Điều 8 Nghị định số 71/2024/NĐ-CP ngày 27 tháng 6 năm 2024 của Chính phủ.</w:t>
            </w:r>
          </w:p>
        </w:tc>
        <w:tc>
          <w:tcPr>
            <w:tcW w:w="1037" w:type="pct"/>
            <w:shd w:val="clear" w:color="auto" w:fill="FFFFFF"/>
          </w:tcPr>
          <w:p w:rsidR="00187DB0" w:rsidRPr="002E4239" w:rsidRDefault="00977016" w:rsidP="00917D7F">
            <w:pPr>
              <w:spacing w:before="60" w:after="60"/>
              <w:ind w:left="127" w:right="137"/>
              <w:jc w:val="both"/>
              <w:rPr>
                <w:rFonts w:ascii="Times New Roman" w:hAnsi="Times New Roman" w:cs="Times New Roman"/>
                <w:bCs/>
                <w:i/>
                <w:iCs/>
                <w:color w:val="auto"/>
                <w:lang w:val="en-US"/>
              </w:rPr>
            </w:pPr>
            <w:r w:rsidRPr="002E4239">
              <w:rPr>
                <w:rFonts w:ascii="Times New Roman" w:hAnsi="Times New Roman" w:cs="Times New Roman"/>
                <w:b/>
                <w:color w:val="auto"/>
                <w:lang w:val="en-US"/>
              </w:rPr>
              <w:lastRenderedPageBreak/>
              <w:t xml:space="preserve">Điều 1. </w:t>
            </w:r>
            <w:r w:rsidRPr="002E4239">
              <w:rPr>
                <w:rFonts w:ascii="Times New Roman" w:hAnsi="Times New Roman" w:cs="Times New Roman"/>
                <w:color w:val="auto"/>
              </w:rPr>
              <w:t xml:space="preserve">Quyết định này quy định một số yếu tố hình thành doanh thu, các yếu tố ước tính chi phí phát triển theo phương pháp thặng dư quy định tại điểm đ khoản 2 và điểm đ khoản 3 Điều 6 Nghị định số 71/2024/NĐ-CP ngày 27 tháng 6 năm 2024 của Chính phủ quy định về giá đất; các yếu tố </w:t>
            </w:r>
            <w:r w:rsidRPr="002E4239">
              <w:rPr>
                <w:rFonts w:ascii="Times New Roman" w:hAnsi="Times New Roman" w:cs="Times New Roman"/>
                <w:color w:val="auto"/>
              </w:rPr>
              <w:lastRenderedPageBreak/>
              <w:t>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 khi xác định giá đất cụ thể theo quy định tại khoản 3 Điều 8 Nghị định số 71/2024/NĐ-CP.</w:t>
            </w:r>
          </w:p>
        </w:tc>
        <w:tc>
          <w:tcPr>
            <w:tcW w:w="938" w:type="pct"/>
            <w:shd w:val="clear" w:color="auto" w:fill="FFFFFF"/>
          </w:tcPr>
          <w:p w:rsidR="00187DB0" w:rsidRPr="002E4239" w:rsidRDefault="009959E8" w:rsidP="00917D7F">
            <w:pPr>
              <w:spacing w:before="60" w:after="60"/>
              <w:ind w:left="127" w:right="137"/>
              <w:jc w:val="both"/>
              <w:rPr>
                <w:rFonts w:ascii="Times New Roman" w:hAnsi="Times New Roman" w:cs="Times New Roman"/>
                <w:bCs/>
                <w:iCs/>
                <w:color w:val="auto"/>
                <w:lang w:val="en-US"/>
              </w:rPr>
            </w:pPr>
            <w:r w:rsidRPr="002E4239">
              <w:rPr>
                <w:rFonts w:ascii="Times New Roman" w:hAnsi="Times New Roman" w:cs="Times New Roman"/>
                <w:b/>
                <w:bCs/>
                <w:iCs/>
                <w:color w:val="auto"/>
                <w:lang w:val="en-US"/>
              </w:rPr>
              <w:lastRenderedPageBreak/>
              <w:t xml:space="preserve">Điều 1. </w:t>
            </w:r>
            <w:r w:rsidRPr="002E4239">
              <w:rPr>
                <w:rFonts w:ascii="Times New Roman" w:hAnsi="Times New Roman" w:cs="Times New Roman"/>
                <w:bCs/>
                <w:iCs/>
                <w:color w:val="auto"/>
                <w:lang w:val="en-US"/>
              </w:rPr>
              <w:t xml:space="preserve">Sửa đổi, bổ sung một số điều của Quyết định số 69/2024QĐ-UBND ngày 08 tháng 11 năm 2024 của Ủy ban nhân dân tỉnh quy định một số yếu tố hình thành doanh thu, các yếu tố ước tính chi phí phát triển theo phương pháp thặng dư và các yếu tố </w:t>
            </w:r>
            <w:r w:rsidRPr="002E4239">
              <w:rPr>
                <w:rFonts w:ascii="Times New Roman" w:hAnsi="Times New Roman" w:cs="Times New Roman"/>
                <w:bCs/>
                <w:iCs/>
                <w:color w:val="auto"/>
                <w:lang w:val="en-US"/>
              </w:rPr>
              <w:lastRenderedPageBreak/>
              <w:t>ảnh hưởng đến giá đất, mức độ chênh lệch tối đa, cách thức điều chỉnh đối với từng mức độ chênh lệch của từng yếu tố ảnh hưởng dến giá đất khi xác định giá đất cụ thể trên địa bàn tỉnh Đồng Nai</w:t>
            </w:r>
          </w:p>
        </w:tc>
        <w:tc>
          <w:tcPr>
            <w:tcW w:w="1174" w:type="pct"/>
            <w:shd w:val="clear" w:color="auto" w:fill="FFFFFF"/>
          </w:tcPr>
          <w:p w:rsidR="00187DB0" w:rsidRPr="002E4239" w:rsidRDefault="009959E8" w:rsidP="00917D7F">
            <w:pPr>
              <w:spacing w:before="60" w:after="60"/>
              <w:ind w:left="127" w:right="137"/>
              <w:jc w:val="both"/>
              <w:rPr>
                <w:rFonts w:ascii="Times New Roman" w:hAnsi="Times New Roman" w:cs="Times New Roman"/>
                <w:bCs/>
                <w:i/>
                <w:iCs/>
                <w:color w:val="auto"/>
                <w:lang w:val="en-US"/>
              </w:rPr>
            </w:pPr>
            <w:r w:rsidRPr="002E4239">
              <w:rPr>
                <w:rFonts w:ascii="Times New Roman" w:hAnsi="Times New Roman" w:cs="Times New Roman"/>
                <w:b/>
                <w:color w:val="auto"/>
                <w:lang w:val="en-US"/>
              </w:rPr>
              <w:lastRenderedPageBreak/>
              <w:t xml:space="preserve">Điều 1. </w:t>
            </w:r>
            <w:r w:rsidRPr="002E4239">
              <w:rPr>
                <w:rFonts w:ascii="Times New Roman" w:hAnsi="Times New Roman" w:cs="Times New Roman"/>
                <w:color w:val="auto"/>
              </w:rPr>
              <w:t xml:space="preserve">Quyết định này quy định một số yếu tố hình thành doanh thu, các yếu tố ước tính chi phí phát triển theo phương pháp thặng dư quy định tại điểm đ khoản 2 và điểm đ khoản 3 Điều 6 Nghị định số 71/2024/NĐ-CP ngày 27 tháng 6 năm 2024 của Chính phủ quy định về giá đất; các yếu tố ảnh hưởng đến giá đất, mức độ </w:t>
            </w:r>
            <w:r w:rsidRPr="002E4239">
              <w:rPr>
                <w:rFonts w:ascii="Times New Roman" w:hAnsi="Times New Roman" w:cs="Times New Roman"/>
                <w:color w:val="auto"/>
              </w:rPr>
              <w:lastRenderedPageBreak/>
              <w:t>chênh lệch tối đa của từng yếu tố ảnh hưởng đến giá đất để xác định mức tương đồng nhất định, cách thức điều chỉnh đối với từng mức độ chênh lệch của từng yếu tố ảnh hưởng đến giá đất khi xác định giá đất cụ thể theo quy định tại khoản 3 Điều 8 Nghị định số 71/2024/NĐ-CP.</w:t>
            </w:r>
          </w:p>
        </w:tc>
        <w:tc>
          <w:tcPr>
            <w:tcW w:w="926" w:type="pct"/>
            <w:shd w:val="clear" w:color="auto" w:fill="FFFFFF"/>
          </w:tcPr>
          <w:p w:rsidR="00187DB0" w:rsidRPr="002E4239" w:rsidRDefault="00AF2272" w:rsidP="004510FF">
            <w:pPr>
              <w:spacing w:before="60" w:after="60"/>
              <w:ind w:left="14" w:right="41"/>
              <w:jc w:val="both"/>
              <w:rPr>
                <w:rFonts w:ascii="Times New Roman" w:hAnsi="Times New Roman" w:cs="Times New Roman"/>
                <w:bCs/>
                <w:color w:val="auto"/>
                <w:lang w:val="en-US"/>
              </w:rPr>
            </w:pPr>
            <w:r w:rsidRPr="002E4239">
              <w:rPr>
                <w:rFonts w:ascii="Times New Roman" w:hAnsi="Times New Roman" w:cs="Times New Roman"/>
                <w:bCs/>
                <w:color w:val="auto"/>
                <w:lang w:val="en-US"/>
              </w:rPr>
              <w:lastRenderedPageBreak/>
              <w:t>Kế thừa Điều 1 Quyết định số 69/2024/QĐ-UBND ngày 08 tháng 11 năm 2024 của UBND tỉnh Đồng Nai (cũ)</w:t>
            </w:r>
          </w:p>
        </w:tc>
      </w:tr>
      <w:tr w:rsidR="00240796" w:rsidRPr="002E4239" w:rsidTr="00F811E5">
        <w:trPr>
          <w:trHeight w:val="20"/>
          <w:jc w:val="center"/>
        </w:trPr>
        <w:tc>
          <w:tcPr>
            <w:tcW w:w="925" w:type="pct"/>
            <w:shd w:val="clear" w:color="auto" w:fill="FFFFFF"/>
          </w:tcPr>
          <w:p w:rsidR="00AF2272" w:rsidRPr="002E4239" w:rsidRDefault="00AF2272" w:rsidP="00AF2272">
            <w:pPr>
              <w:spacing w:before="120"/>
              <w:jc w:val="both"/>
              <w:rPr>
                <w:rFonts w:ascii="Times New Roman" w:hAnsi="Times New Roman" w:cs="Times New Roman"/>
                <w:color w:val="auto"/>
              </w:rPr>
            </w:pPr>
            <w:bookmarkStart w:id="0" w:name="dieu_2"/>
            <w:r w:rsidRPr="002E4239">
              <w:rPr>
                <w:rFonts w:ascii="Times New Roman" w:hAnsi="Times New Roman" w:cs="Times New Roman"/>
                <w:b/>
                <w:bCs/>
                <w:color w:val="auto"/>
              </w:rPr>
              <w:lastRenderedPageBreak/>
              <w:t>Điều 2.</w:t>
            </w:r>
            <w:r w:rsidRPr="002E4239">
              <w:rPr>
                <w:rFonts w:ascii="Times New Roman" w:hAnsi="Times New Roman" w:cs="Times New Roman"/>
                <w:bCs/>
                <w:color w:val="auto"/>
              </w:rPr>
              <w:t xml:space="preserve"> Đối tượng áp dụng</w:t>
            </w:r>
            <w:bookmarkEnd w:id="0"/>
          </w:p>
          <w:p w:rsidR="00187DB0" w:rsidRPr="002E4239" w:rsidRDefault="00187DB0" w:rsidP="00917D7F">
            <w:pPr>
              <w:spacing w:before="60" w:after="60"/>
              <w:ind w:left="160" w:right="133"/>
              <w:jc w:val="both"/>
              <w:rPr>
                <w:rFonts w:ascii="Times New Roman" w:hAnsi="Times New Roman" w:cs="Times New Roman"/>
                <w:color w:val="auto"/>
                <w:shd w:val="clear" w:color="auto" w:fill="FFFFFF"/>
                <w:lang w:val="en-US"/>
              </w:rPr>
            </w:pPr>
          </w:p>
        </w:tc>
        <w:tc>
          <w:tcPr>
            <w:tcW w:w="1037" w:type="pct"/>
            <w:shd w:val="clear" w:color="auto" w:fill="FFFFFF"/>
          </w:tcPr>
          <w:p w:rsidR="00AF2272" w:rsidRPr="002E4239" w:rsidRDefault="00AF2272" w:rsidP="00AF2272">
            <w:pPr>
              <w:spacing w:before="120"/>
              <w:jc w:val="both"/>
              <w:rPr>
                <w:rFonts w:ascii="Times New Roman" w:hAnsi="Times New Roman" w:cs="Times New Roman"/>
                <w:color w:val="auto"/>
              </w:rPr>
            </w:pPr>
            <w:r w:rsidRPr="002E4239">
              <w:rPr>
                <w:rFonts w:ascii="Times New Roman" w:hAnsi="Times New Roman" w:cs="Times New Roman"/>
                <w:b/>
                <w:bCs/>
                <w:color w:val="auto"/>
              </w:rPr>
              <w:t>Điều 2.</w:t>
            </w:r>
            <w:r w:rsidRPr="002E4239">
              <w:rPr>
                <w:rFonts w:ascii="Times New Roman" w:hAnsi="Times New Roman" w:cs="Times New Roman"/>
                <w:bCs/>
                <w:color w:val="auto"/>
              </w:rPr>
              <w:t xml:space="preserve"> Đối tượng áp dụng</w:t>
            </w:r>
          </w:p>
          <w:p w:rsidR="00187DB0" w:rsidRPr="002E4239" w:rsidRDefault="00187DB0" w:rsidP="00917D7F">
            <w:pPr>
              <w:spacing w:before="60" w:after="60"/>
              <w:ind w:left="127" w:right="137"/>
              <w:jc w:val="both"/>
              <w:rPr>
                <w:rFonts w:ascii="Times New Roman" w:hAnsi="Times New Roman" w:cs="Times New Roman"/>
                <w:bCs/>
                <w:i/>
                <w:iCs/>
                <w:color w:val="auto"/>
                <w:lang w:val="en-US"/>
              </w:rPr>
            </w:pPr>
          </w:p>
        </w:tc>
        <w:tc>
          <w:tcPr>
            <w:tcW w:w="938" w:type="pct"/>
            <w:shd w:val="clear" w:color="auto" w:fill="FFFFFF"/>
          </w:tcPr>
          <w:p w:rsidR="00884BAA" w:rsidRPr="002E4239" w:rsidRDefault="00884BAA" w:rsidP="00884BAA">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Cs/>
                <w:color w:val="auto"/>
                <w:lang w:val="en-US"/>
              </w:rPr>
              <w:t>Giữ nguyên nội dung Điều 2 của Quyết định số 69/2024/QĐ-UBND ngày 08 tháng 11 năm 2024 của UBND tỉnh Đồng Nai (cũ)</w:t>
            </w:r>
          </w:p>
          <w:p w:rsidR="00187DB0" w:rsidRPr="002E4239" w:rsidRDefault="00187DB0" w:rsidP="00917D7F">
            <w:pPr>
              <w:spacing w:before="60" w:after="60"/>
              <w:ind w:left="127" w:right="137"/>
              <w:jc w:val="both"/>
              <w:rPr>
                <w:rFonts w:ascii="Times New Roman" w:hAnsi="Times New Roman" w:cs="Times New Roman"/>
                <w:b/>
                <w:bCs/>
                <w:iCs/>
                <w:color w:val="auto"/>
                <w:lang w:val="en-US"/>
              </w:rPr>
            </w:pPr>
          </w:p>
        </w:tc>
        <w:tc>
          <w:tcPr>
            <w:tcW w:w="1174" w:type="pct"/>
            <w:shd w:val="clear" w:color="auto" w:fill="FFFFFF"/>
          </w:tcPr>
          <w:p w:rsidR="00AF2272" w:rsidRPr="002E4239" w:rsidRDefault="00AF2272" w:rsidP="00AF2272">
            <w:pPr>
              <w:spacing w:before="120"/>
              <w:jc w:val="both"/>
              <w:rPr>
                <w:rFonts w:ascii="Times New Roman" w:hAnsi="Times New Roman" w:cs="Times New Roman"/>
                <w:color w:val="auto"/>
              </w:rPr>
            </w:pPr>
            <w:r w:rsidRPr="002E4239">
              <w:rPr>
                <w:rFonts w:ascii="Times New Roman" w:hAnsi="Times New Roman" w:cs="Times New Roman"/>
                <w:b/>
                <w:bCs/>
                <w:color w:val="auto"/>
              </w:rPr>
              <w:t>Điều 2.</w:t>
            </w:r>
            <w:r w:rsidRPr="002E4239">
              <w:rPr>
                <w:rFonts w:ascii="Times New Roman" w:hAnsi="Times New Roman" w:cs="Times New Roman"/>
                <w:bCs/>
                <w:color w:val="auto"/>
              </w:rPr>
              <w:t xml:space="preserve"> Đối tượng áp dụng</w:t>
            </w:r>
          </w:p>
          <w:p w:rsidR="00187DB0" w:rsidRPr="002E4239" w:rsidRDefault="00187DB0" w:rsidP="00917D7F">
            <w:pPr>
              <w:spacing w:before="60" w:after="60"/>
              <w:ind w:left="127" w:right="137"/>
              <w:jc w:val="both"/>
              <w:rPr>
                <w:rFonts w:ascii="Times New Roman" w:hAnsi="Times New Roman" w:cs="Times New Roman"/>
                <w:bCs/>
                <w:i/>
                <w:iCs/>
                <w:color w:val="auto"/>
                <w:lang w:val="en-US"/>
              </w:rPr>
            </w:pPr>
          </w:p>
        </w:tc>
        <w:tc>
          <w:tcPr>
            <w:tcW w:w="926" w:type="pct"/>
            <w:shd w:val="clear" w:color="auto" w:fill="FFFFFF"/>
          </w:tcPr>
          <w:p w:rsidR="00187DB0" w:rsidRPr="002E4239" w:rsidRDefault="00AF2272" w:rsidP="00E37087">
            <w:pPr>
              <w:spacing w:before="60" w:after="60"/>
              <w:ind w:left="151" w:right="113"/>
              <w:jc w:val="both"/>
              <w:rPr>
                <w:rFonts w:ascii="Times New Roman" w:hAnsi="Times New Roman" w:cs="Times New Roman"/>
                <w:bCs/>
                <w:color w:val="auto"/>
                <w:lang w:val="en-US"/>
              </w:rPr>
            </w:pPr>
            <w:r w:rsidRPr="002E4239">
              <w:rPr>
                <w:rFonts w:ascii="Times New Roman" w:hAnsi="Times New Roman" w:cs="Times New Roman"/>
                <w:bCs/>
                <w:color w:val="auto"/>
                <w:lang w:val="en-US"/>
              </w:rPr>
              <w:t>Kế thừa Điều 2 của Quyết định số 06/2025/QĐ-UBND và Quyết định số 69/2024/QĐ-UBND</w:t>
            </w:r>
          </w:p>
        </w:tc>
      </w:tr>
      <w:tr w:rsidR="00240796" w:rsidRPr="002E4239" w:rsidTr="00F811E5">
        <w:trPr>
          <w:trHeight w:val="20"/>
          <w:jc w:val="center"/>
        </w:trPr>
        <w:tc>
          <w:tcPr>
            <w:tcW w:w="925" w:type="pct"/>
            <w:shd w:val="clear" w:color="auto" w:fill="FFFFFF"/>
          </w:tcPr>
          <w:p w:rsidR="00187DB0" w:rsidRPr="002E4239" w:rsidRDefault="00BA660F" w:rsidP="00BA660F">
            <w:pPr>
              <w:spacing w:before="60" w:after="60"/>
              <w:ind w:right="133"/>
              <w:jc w:val="both"/>
              <w:rPr>
                <w:rFonts w:ascii="Times New Roman" w:hAnsi="Times New Roman" w:cs="Times New Roman"/>
                <w:color w:val="auto"/>
                <w:shd w:val="clear" w:color="auto" w:fill="FFFFFF"/>
                <w:lang w:val="en-US"/>
              </w:rPr>
            </w:pPr>
            <w:r w:rsidRPr="002E4239">
              <w:rPr>
                <w:rFonts w:ascii="Times New Roman" w:hAnsi="Times New Roman" w:cs="Times New Roman"/>
                <w:b/>
                <w:color w:val="auto"/>
                <w:shd w:val="clear" w:color="auto" w:fill="FFFFFF"/>
                <w:lang w:val="en-US"/>
              </w:rPr>
              <w:t xml:space="preserve">Điều 3. </w:t>
            </w:r>
            <w:r w:rsidR="000938F4" w:rsidRPr="002E4239">
              <w:rPr>
                <w:rFonts w:ascii="Times New Roman" w:hAnsi="Times New Roman" w:cs="Times New Roman"/>
                <w:color w:val="auto"/>
                <w:shd w:val="clear" w:color="auto" w:fill="FFFFFF"/>
                <w:lang w:val="en-US"/>
              </w:rPr>
              <w:t xml:space="preserve">Quy định một số yếu tố ước tính doanh thu phát triển, chi phí phát triển của thửa đất, khu đất cần định giá theo phương pháp thặng dư và các yếu </w:t>
            </w:r>
            <w:r w:rsidR="000938F4" w:rsidRPr="002E4239">
              <w:rPr>
                <w:rFonts w:ascii="Times New Roman" w:hAnsi="Times New Roman" w:cs="Times New Roman"/>
                <w:color w:val="auto"/>
                <w:shd w:val="clear" w:color="auto" w:fill="FFFFFF"/>
                <w:lang w:val="en-US"/>
              </w:rPr>
              <w:lastRenderedPageBreak/>
              <w:t>tố ảnh hưởng đến giá đất trong việc xác định giá đất cụ thể trên địa bàn tỉnh Bình Phước</w:t>
            </w:r>
          </w:p>
        </w:tc>
        <w:tc>
          <w:tcPr>
            <w:tcW w:w="1037" w:type="pct"/>
            <w:shd w:val="clear" w:color="auto" w:fill="FFFFFF"/>
          </w:tcPr>
          <w:p w:rsidR="00187DB0" w:rsidRPr="002E4239" w:rsidRDefault="000938F4" w:rsidP="00917D7F">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
                <w:bCs/>
                <w:color w:val="auto"/>
                <w:lang w:val="en-US"/>
              </w:rPr>
              <w:lastRenderedPageBreak/>
              <w:t xml:space="preserve">Điều 3. </w:t>
            </w:r>
            <w:r w:rsidR="0033531B" w:rsidRPr="002E4239">
              <w:rPr>
                <w:rFonts w:ascii="Times New Roman" w:hAnsi="Times New Roman" w:cs="Times New Roman"/>
                <w:bCs/>
                <w:color w:val="auto"/>
                <w:lang w:val="en-US"/>
              </w:rPr>
              <w:t>Quy định một số yếu tố hình thành doanh thu, các yếu tố ước tính chi phí phát triển theo phương pháp thặng dư</w:t>
            </w:r>
          </w:p>
        </w:tc>
        <w:tc>
          <w:tcPr>
            <w:tcW w:w="938" w:type="pct"/>
            <w:shd w:val="clear" w:color="auto" w:fill="FFFFFF"/>
          </w:tcPr>
          <w:p w:rsidR="00187DB0" w:rsidRPr="002E4239" w:rsidRDefault="0033531B" w:rsidP="00917D7F">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Cs/>
                <w:color w:val="auto"/>
                <w:lang w:val="en-US"/>
              </w:rPr>
              <w:t xml:space="preserve">Giữ nguyên </w:t>
            </w:r>
            <w:r w:rsidR="00740DC3" w:rsidRPr="002E4239">
              <w:rPr>
                <w:rFonts w:ascii="Times New Roman" w:hAnsi="Times New Roman" w:cs="Times New Roman"/>
                <w:bCs/>
                <w:color w:val="auto"/>
                <w:lang w:val="en-US"/>
              </w:rPr>
              <w:t xml:space="preserve">nội dung </w:t>
            </w:r>
            <w:r w:rsidRPr="002E4239">
              <w:rPr>
                <w:rFonts w:ascii="Times New Roman" w:hAnsi="Times New Roman" w:cs="Times New Roman"/>
                <w:bCs/>
                <w:color w:val="auto"/>
                <w:lang w:val="en-US"/>
              </w:rPr>
              <w:t>Điều 3 của Quyết định số 69/2024/QĐ-UBND ngày 08 tháng 11 năm 2024 của UBND tỉnh Đồng Nai (cũ)</w:t>
            </w:r>
          </w:p>
          <w:p w:rsidR="0033531B" w:rsidRPr="002E4239" w:rsidRDefault="0033531B" w:rsidP="00917D7F">
            <w:pPr>
              <w:spacing w:before="60" w:after="60"/>
              <w:ind w:left="127" w:right="137"/>
              <w:jc w:val="both"/>
              <w:rPr>
                <w:rFonts w:ascii="Times New Roman" w:hAnsi="Times New Roman" w:cs="Times New Roman"/>
                <w:bCs/>
                <w:color w:val="auto"/>
                <w:lang w:val="en-US"/>
              </w:rPr>
            </w:pPr>
          </w:p>
        </w:tc>
        <w:tc>
          <w:tcPr>
            <w:tcW w:w="1174" w:type="pct"/>
            <w:shd w:val="clear" w:color="auto" w:fill="FFFFFF"/>
          </w:tcPr>
          <w:p w:rsidR="00187DB0" w:rsidRPr="002E4239" w:rsidRDefault="0033531B" w:rsidP="00917D7F">
            <w:pPr>
              <w:spacing w:before="60" w:after="60"/>
              <w:ind w:left="127" w:right="137"/>
              <w:jc w:val="both"/>
              <w:rPr>
                <w:rFonts w:ascii="Times New Roman" w:hAnsi="Times New Roman" w:cs="Times New Roman"/>
                <w:bCs/>
                <w:i/>
                <w:iCs/>
                <w:color w:val="auto"/>
                <w:lang w:val="en-US"/>
              </w:rPr>
            </w:pPr>
            <w:r w:rsidRPr="002E4239">
              <w:rPr>
                <w:rFonts w:ascii="Times New Roman" w:hAnsi="Times New Roman" w:cs="Times New Roman"/>
                <w:b/>
                <w:bCs/>
                <w:color w:val="auto"/>
                <w:lang w:val="en-US"/>
              </w:rPr>
              <w:lastRenderedPageBreak/>
              <w:t xml:space="preserve">Điều 3. </w:t>
            </w:r>
            <w:r w:rsidRPr="002E4239">
              <w:rPr>
                <w:rFonts w:ascii="Times New Roman" w:hAnsi="Times New Roman" w:cs="Times New Roman"/>
                <w:bCs/>
                <w:color w:val="auto"/>
                <w:lang w:val="en-US"/>
              </w:rPr>
              <w:t>Quy định một số yếu tố hình thành doanh thu, các yếu tố ước tính chi phí phát triển theo phương pháp thặng dư</w:t>
            </w:r>
          </w:p>
        </w:tc>
        <w:tc>
          <w:tcPr>
            <w:tcW w:w="926" w:type="pct"/>
            <w:shd w:val="clear" w:color="auto" w:fill="FFFFFF"/>
          </w:tcPr>
          <w:p w:rsidR="00187DB0" w:rsidRPr="002E4239" w:rsidRDefault="0033531B" w:rsidP="00E32218">
            <w:pPr>
              <w:spacing w:before="60" w:after="60"/>
              <w:ind w:right="41"/>
              <w:jc w:val="both"/>
              <w:rPr>
                <w:rFonts w:ascii="Times New Roman" w:hAnsi="Times New Roman" w:cs="Times New Roman"/>
                <w:bCs/>
                <w:color w:val="auto"/>
                <w:lang w:val="en-US"/>
              </w:rPr>
            </w:pPr>
            <w:r w:rsidRPr="002E4239">
              <w:rPr>
                <w:rFonts w:ascii="Times New Roman" w:hAnsi="Times New Roman" w:cs="Times New Roman"/>
                <w:bCs/>
                <w:color w:val="auto"/>
                <w:lang w:val="en-US"/>
              </w:rPr>
              <w:t>Kế thừa Điều 3 của Quyết định số 69/2024/QĐ-UBND ngày 08 tháng 11 năm 2024 của UBND tỉnh Đồng Nai (cũ)</w:t>
            </w:r>
          </w:p>
        </w:tc>
      </w:tr>
      <w:tr w:rsidR="00E37087" w:rsidRPr="002E4239" w:rsidTr="00F811E5">
        <w:trPr>
          <w:trHeight w:val="20"/>
          <w:jc w:val="center"/>
        </w:trPr>
        <w:tc>
          <w:tcPr>
            <w:tcW w:w="925" w:type="pct"/>
            <w:shd w:val="clear" w:color="auto" w:fill="FFFFFF"/>
          </w:tcPr>
          <w:p w:rsidR="00E37087" w:rsidRPr="002E4239" w:rsidRDefault="00E37087" w:rsidP="00BA660F">
            <w:pPr>
              <w:spacing w:before="60" w:after="60"/>
              <w:ind w:right="133"/>
              <w:jc w:val="both"/>
              <w:rPr>
                <w:rFonts w:ascii="Times New Roman" w:hAnsi="Times New Roman" w:cs="Times New Roman"/>
                <w:color w:val="auto"/>
                <w:shd w:val="clear" w:color="auto" w:fill="FFFFFF"/>
                <w:lang w:val="en-US"/>
              </w:rPr>
            </w:pPr>
            <w:r w:rsidRPr="002E4239">
              <w:rPr>
                <w:rFonts w:ascii="Times New Roman" w:hAnsi="Times New Roman" w:cs="Times New Roman"/>
                <w:b/>
                <w:color w:val="auto"/>
                <w:shd w:val="clear" w:color="auto" w:fill="FFFFFF"/>
                <w:lang w:val="en-US"/>
              </w:rPr>
              <w:lastRenderedPageBreak/>
              <w:t xml:space="preserve">Điều 4. </w:t>
            </w:r>
            <w:r w:rsidR="00740DC3" w:rsidRPr="002E4239">
              <w:rPr>
                <w:rFonts w:ascii="Times New Roman" w:hAnsi="Times New Roman" w:cs="Times New Roman"/>
                <w:color w:val="auto"/>
                <w:shd w:val="clear" w:color="auto" w:fill="FFFFFF"/>
                <w:lang w:val="en-US"/>
              </w:rPr>
              <w:t>Hiệu lực thi hành và quy định chuyển tiếp</w:t>
            </w:r>
          </w:p>
        </w:tc>
        <w:tc>
          <w:tcPr>
            <w:tcW w:w="1037" w:type="pct"/>
            <w:shd w:val="clear" w:color="auto" w:fill="FFFFFF"/>
          </w:tcPr>
          <w:p w:rsidR="00E37087" w:rsidRPr="002E4239" w:rsidRDefault="005F6380" w:rsidP="005F6380">
            <w:pPr>
              <w:spacing w:before="60" w:after="60"/>
              <w:ind w:right="137"/>
              <w:jc w:val="both"/>
              <w:rPr>
                <w:rFonts w:ascii="Times New Roman" w:hAnsi="Times New Roman" w:cs="Times New Roman"/>
                <w:bCs/>
                <w:color w:val="auto"/>
                <w:lang w:val="en-US"/>
              </w:rPr>
            </w:pPr>
            <w:r w:rsidRPr="002E4239">
              <w:rPr>
                <w:rFonts w:ascii="Times New Roman" w:hAnsi="Times New Roman" w:cs="Times New Roman"/>
                <w:bCs/>
                <w:color w:val="auto"/>
                <w:lang w:val="en-US"/>
              </w:rPr>
              <w:t xml:space="preserve"> </w:t>
            </w:r>
            <w:r w:rsidRPr="002E4239">
              <w:rPr>
                <w:rFonts w:ascii="Times New Roman" w:hAnsi="Times New Roman" w:cs="Times New Roman"/>
                <w:b/>
                <w:bCs/>
                <w:color w:val="auto"/>
                <w:lang w:val="en-US"/>
              </w:rPr>
              <w:t xml:space="preserve">Điều 4. </w:t>
            </w:r>
            <w:r w:rsidRPr="002E4239">
              <w:rPr>
                <w:rFonts w:ascii="Times New Roman" w:hAnsi="Times New Roman" w:cs="Times New Roman"/>
                <w:bCs/>
                <w:color w:val="auto"/>
                <w:lang w:val="en-US"/>
              </w:rPr>
              <w:t>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 khi xác định giá đất cụ thể</w:t>
            </w:r>
          </w:p>
        </w:tc>
        <w:tc>
          <w:tcPr>
            <w:tcW w:w="938" w:type="pct"/>
            <w:shd w:val="clear" w:color="auto" w:fill="FFFFFF"/>
          </w:tcPr>
          <w:p w:rsidR="00E37087" w:rsidRPr="002E4239" w:rsidRDefault="005F6380" w:rsidP="00443477">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Cs/>
                <w:color w:val="auto"/>
                <w:lang w:val="en-US"/>
              </w:rPr>
              <w:t xml:space="preserve">Nội dung Điều </w:t>
            </w:r>
            <w:r w:rsidR="00443477" w:rsidRPr="002E4239">
              <w:rPr>
                <w:rFonts w:ascii="Times New Roman" w:hAnsi="Times New Roman" w:cs="Times New Roman"/>
                <w:bCs/>
                <w:color w:val="auto"/>
                <w:lang w:val="en-US"/>
              </w:rPr>
              <w:t>4 của Quyết định số 69/2024/QĐ-UBND</w:t>
            </w:r>
            <w:r w:rsidRPr="002E4239">
              <w:rPr>
                <w:rFonts w:ascii="Times New Roman" w:hAnsi="Times New Roman" w:cs="Times New Roman"/>
                <w:bCs/>
                <w:color w:val="auto"/>
                <w:lang w:val="en-US"/>
              </w:rPr>
              <w:t xml:space="preserve"> đã được điều chỉnh tại khoản 1 Điều 1 Quyết định số 39/2025/QĐ-UBND ngày 30 tháng 6 năm 2025</w:t>
            </w:r>
          </w:p>
        </w:tc>
        <w:tc>
          <w:tcPr>
            <w:tcW w:w="1174" w:type="pct"/>
            <w:shd w:val="clear" w:color="auto" w:fill="FFFFFF"/>
          </w:tcPr>
          <w:p w:rsidR="00E37087" w:rsidRPr="002E4239" w:rsidRDefault="005F6380" w:rsidP="00F11256">
            <w:pPr>
              <w:shd w:val="clear" w:color="auto" w:fill="FFFFFF"/>
              <w:spacing w:before="120"/>
              <w:ind w:left="32" w:right="108"/>
              <w:jc w:val="both"/>
              <w:rPr>
                <w:rFonts w:ascii="Times New Roman" w:hAnsi="Times New Roman" w:cs="Times New Roman"/>
                <w:bCs/>
                <w:i/>
                <w:color w:val="auto"/>
                <w:lang w:val="en-US"/>
              </w:rPr>
            </w:pPr>
            <w:r w:rsidRPr="002E4239">
              <w:rPr>
                <w:rFonts w:ascii="Times New Roman" w:hAnsi="Times New Roman" w:cs="Times New Roman"/>
                <w:b/>
                <w:bCs/>
                <w:color w:val="auto"/>
                <w:lang w:val="en-US"/>
              </w:rPr>
              <w:t>Điều 4</w:t>
            </w:r>
            <w:r w:rsidR="00FE1077" w:rsidRPr="002E4239">
              <w:rPr>
                <w:rFonts w:ascii="Times New Roman" w:hAnsi="Times New Roman" w:cs="Times New Roman"/>
                <w:b/>
                <w:bCs/>
                <w:color w:val="auto"/>
                <w:lang w:val="en-US"/>
              </w:rPr>
              <w:t xml:space="preserve">. </w:t>
            </w:r>
            <w:r w:rsidR="00FE1077" w:rsidRPr="002E4239">
              <w:rPr>
                <w:rFonts w:ascii="Times New Roman" w:hAnsi="Times New Roman" w:cs="Times New Roman"/>
                <w:bCs/>
                <w:color w:val="auto"/>
                <w:lang w:val="en-US"/>
              </w:rPr>
              <w:t>Các yếu tố ảnh hưởng đến giá đất, mức độ chênh lệch tối đa của từng yếu tố ảnh hưởng đến giá đất để xác định mức tương đồng nhất định, cách thức điều chỉnh đối với từng mức độ chênh lệch của từng yếu tố ảnh hưởng đến giá đất khi xác định giá đất cụ thể</w:t>
            </w:r>
          </w:p>
        </w:tc>
        <w:tc>
          <w:tcPr>
            <w:tcW w:w="926" w:type="pct"/>
            <w:shd w:val="clear" w:color="auto" w:fill="FFFFFF"/>
          </w:tcPr>
          <w:p w:rsidR="00E37087" w:rsidRPr="002E4239" w:rsidRDefault="00F11256" w:rsidP="00E32218">
            <w:pPr>
              <w:spacing w:before="60" w:after="60"/>
              <w:ind w:right="41"/>
              <w:jc w:val="both"/>
              <w:rPr>
                <w:rFonts w:ascii="Times New Roman" w:hAnsi="Times New Roman" w:cs="Times New Roman"/>
                <w:bCs/>
                <w:color w:val="auto"/>
                <w:lang w:val="en-US"/>
              </w:rPr>
            </w:pPr>
            <w:r w:rsidRPr="002E4239">
              <w:rPr>
                <w:rFonts w:ascii="Times New Roman" w:hAnsi="Times New Roman" w:cs="Times New Roman"/>
                <w:bCs/>
                <w:color w:val="auto"/>
                <w:lang w:val="en-US"/>
              </w:rPr>
              <w:t>Kế thừa nội dung đã được điều chỉnh tại khoản 1 Điều 1 Quyết định số 39/2025/QĐ-UBND</w:t>
            </w:r>
            <w:r w:rsidR="00443477" w:rsidRPr="002E4239">
              <w:rPr>
                <w:rFonts w:ascii="Times New Roman" w:hAnsi="Times New Roman" w:cs="Times New Roman"/>
                <w:bCs/>
                <w:color w:val="auto"/>
                <w:lang w:val="en-US"/>
              </w:rPr>
              <w:t>; đồng thời bổ sung nội dung tại khoản 3: “</w:t>
            </w:r>
            <w:r w:rsidR="00443477" w:rsidRPr="002E4239">
              <w:rPr>
                <w:rFonts w:ascii="Times New Roman" w:hAnsi="Times New Roman" w:cs="Times New Roman"/>
                <w:bCs/>
                <w:i/>
                <w:color w:val="auto"/>
                <w:lang w:val="en-US"/>
              </w:rPr>
              <w:t xml:space="preserve">3. Khi xác định mức độ chênh lệch của từng yếu tố ảnh hưởng đến giá đất quy định tại khoản 1 và khoản 2 Điều này, Tổ chức tư vấn xác định giá đất chịu trách nhiệm chứng minh cơ sở đề xuất mức độ chênh lệch trong Báo cáo thuyết minh xây dựng phương án giá đất để Hội đồng thẩm định giá đất cụ thể xem xét, quyết định bằng cặp thông tin giá giao dịch trên thị trường (thông tin đầu vào để chứng minh phải đảm </w:t>
            </w:r>
            <w:r w:rsidR="00443477" w:rsidRPr="002E4239">
              <w:rPr>
                <w:rFonts w:ascii="Times New Roman" w:hAnsi="Times New Roman" w:cs="Times New Roman"/>
                <w:bCs/>
                <w:i/>
                <w:color w:val="auto"/>
                <w:lang w:val="en-US"/>
              </w:rPr>
              <w:lastRenderedPageBreak/>
              <w:t>bảo theo quy định tại khoản 2 Điều 4 Nghị định số 71/2024/NĐ-CP ngày 27 tháng 6 năm 2024 của Chính phủ).”</w:t>
            </w:r>
          </w:p>
        </w:tc>
      </w:tr>
      <w:tr w:rsidR="00740DC3" w:rsidRPr="002E4239" w:rsidTr="00F811E5">
        <w:trPr>
          <w:trHeight w:val="20"/>
          <w:jc w:val="center"/>
        </w:trPr>
        <w:tc>
          <w:tcPr>
            <w:tcW w:w="925" w:type="pct"/>
            <w:shd w:val="clear" w:color="auto" w:fill="FFFFFF"/>
          </w:tcPr>
          <w:p w:rsidR="00740DC3" w:rsidRPr="002E4239" w:rsidRDefault="00FE1077" w:rsidP="00BA660F">
            <w:pPr>
              <w:spacing w:before="60" w:after="60"/>
              <w:ind w:right="133"/>
              <w:jc w:val="both"/>
              <w:rPr>
                <w:rFonts w:ascii="Times New Roman" w:hAnsi="Times New Roman" w:cs="Times New Roman"/>
                <w:b/>
                <w:color w:val="auto"/>
                <w:shd w:val="clear" w:color="auto" w:fill="FFFFFF"/>
                <w:lang w:val="en-US"/>
              </w:rPr>
            </w:pPr>
            <w:r w:rsidRPr="002E4239">
              <w:rPr>
                <w:rFonts w:ascii="Times New Roman" w:hAnsi="Times New Roman" w:cs="Times New Roman"/>
                <w:b/>
                <w:color w:val="auto"/>
                <w:shd w:val="clear" w:color="auto" w:fill="FFFFFF"/>
                <w:lang w:val="en-US"/>
              </w:rPr>
              <w:lastRenderedPageBreak/>
              <w:t xml:space="preserve">Phụ lục I. </w:t>
            </w:r>
            <w:r w:rsidRPr="002E4239">
              <w:rPr>
                <w:rFonts w:ascii="Times New Roman" w:hAnsi="Times New Roman" w:cs="Times New Roman"/>
                <w:color w:val="auto"/>
                <w:shd w:val="clear" w:color="auto" w:fill="FFFFFF"/>
                <w:lang w:val="en-US"/>
              </w:rPr>
              <w:t>Một số yếu tố ước tính doanh thu phát triển, chi phí phát triển của thửa đất, khu đất thực hiện dự án nhà ở cao tầng</w:t>
            </w:r>
          </w:p>
        </w:tc>
        <w:tc>
          <w:tcPr>
            <w:tcW w:w="1037" w:type="pct"/>
            <w:shd w:val="clear" w:color="auto" w:fill="FFFFFF"/>
          </w:tcPr>
          <w:p w:rsidR="00740DC3" w:rsidRPr="002E4239" w:rsidRDefault="00FE1077" w:rsidP="00917D7F">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
                <w:bCs/>
                <w:color w:val="auto"/>
                <w:lang w:val="en-US"/>
              </w:rPr>
              <w:t xml:space="preserve">Phụ lục I. </w:t>
            </w:r>
            <w:r w:rsidRPr="002E4239">
              <w:rPr>
                <w:rFonts w:ascii="Times New Roman" w:hAnsi="Times New Roman" w:cs="Times New Roman"/>
                <w:bCs/>
                <w:color w:val="auto"/>
                <w:lang w:val="en-US"/>
              </w:rPr>
              <w:t>Quy định một số yếu tố hình thành doanh thu, các yếu tố ước tính chi phí phát triển theo phương pháp thặng dư đối với thửa đất, khu đất đầu tư xây dựng dự án nhà liền kề, nhà biệt thự</w:t>
            </w:r>
          </w:p>
        </w:tc>
        <w:tc>
          <w:tcPr>
            <w:tcW w:w="938" w:type="pct"/>
            <w:shd w:val="clear" w:color="auto" w:fill="FFFFFF"/>
          </w:tcPr>
          <w:p w:rsidR="00740DC3" w:rsidRPr="002E4239" w:rsidRDefault="003868FA" w:rsidP="003868FA">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Cs/>
                <w:color w:val="auto"/>
                <w:lang w:val="en-US"/>
              </w:rPr>
              <w:t>Nội dung Phụ lục I của Quyết định số 69/2024/QĐ-UBND đã được thay thế bằng Phụ lục I của Quyết định số 39/2025/QĐ-UBND ngày 30 tháng 6 năm 2025</w:t>
            </w:r>
          </w:p>
        </w:tc>
        <w:tc>
          <w:tcPr>
            <w:tcW w:w="1174" w:type="pct"/>
            <w:shd w:val="clear" w:color="auto" w:fill="FFFFFF"/>
          </w:tcPr>
          <w:p w:rsidR="00740DC3" w:rsidRPr="002E4239" w:rsidRDefault="003868FA" w:rsidP="00917D7F">
            <w:pPr>
              <w:spacing w:before="60" w:after="60"/>
              <w:ind w:left="127" w:right="137"/>
              <w:jc w:val="both"/>
              <w:rPr>
                <w:rFonts w:ascii="Times New Roman" w:hAnsi="Times New Roman" w:cs="Times New Roman"/>
                <w:b/>
                <w:bCs/>
                <w:color w:val="auto"/>
                <w:lang w:val="en-US"/>
              </w:rPr>
            </w:pPr>
            <w:r w:rsidRPr="002E4239">
              <w:rPr>
                <w:rFonts w:ascii="Times New Roman" w:hAnsi="Times New Roman" w:cs="Times New Roman"/>
                <w:b/>
                <w:bCs/>
                <w:color w:val="auto"/>
                <w:lang w:val="en-US"/>
              </w:rPr>
              <w:t xml:space="preserve">Phụ lục I. </w:t>
            </w:r>
            <w:r w:rsidRPr="002E4239">
              <w:rPr>
                <w:rFonts w:ascii="Times New Roman" w:hAnsi="Times New Roman" w:cs="Times New Roman"/>
                <w:bCs/>
                <w:color w:val="auto"/>
                <w:lang w:val="en-US"/>
              </w:rPr>
              <w:t>Quy định một số yếu tố hình thành doanh thu, các yếu tố ước tính chi phí phát triển theo phương pháp thặng dư đối với thửa đất, khu đất đầu tư xây dựng dự án nhà liền kề, nhà biệt thự</w:t>
            </w:r>
          </w:p>
        </w:tc>
        <w:tc>
          <w:tcPr>
            <w:tcW w:w="926" w:type="pct"/>
            <w:shd w:val="clear" w:color="auto" w:fill="FFFFFF"/>
          </w:tcPr>
          <w:p w:rsidR="00740DC3" w:rsidRPr="002E4239" w:rsidRDefault="003868FA" w:rsidP="00E32218">
            <w:pPr>
              <w:spacing w:before="60" w:after="60"/>
              <w:ind w:right="41"/>
              <w:jc w:val="both"/>
              <w:rPr>
                <w:rFonts w:ascii="Times New Roman" w:hAnsi="Times New Roman" w:cs="Times New Roman"/>
                <w:bCs/>
                <w:color w:val="auto"/>
                <w:lang w:val="en-US"/>
              </w:rPr>
            </w:pPr>
            <w:r w:rsidRPr="002E4239">
              <w:rPr>
                <w:rFonts w:ascii="Times New Roman" w:hAnsi="Times New Roman" w:cs="Times New Roman"/>
                <w:bCs/>
                <w:color w:val="auto"/>
                <w:lang w:val="en-US"/>
              </w:rPr>
              <w:t>Kế thừa nội dung Phụ lục I của Quyết định số 39/2025/QĐ-UBND ngày 30 tháng 6 năm 2025</w:t>
            </w:r>
          </w:p>
        </w:tc>
      </w:tr>
      <w:tr w:rsidR="00FE1077" w:rsidRPr="002E4239" w:rsidTr="00F811E5">
        <w:trPr>
          <w:trHeight w:val="20"/>
          <w:jc w:val="center"/>
        </w:trPr>
        <w:tc>
          <w:tcPr>
            <w:tcW w:w="925" w:type="pct"/>
            <w:shd w:val="clear" w:color="auto" w:fill="FFFFFF"/>
          </w:tcPr>
          <w:p w:rsidR="00FE1077" w:rsidRPr="002E4239" w:rsidRDefault="003868FA" w:rsidP="00BA660F">
            <w:pPr>
              <w:spacing w:before="60" w:after="60"/>
              <w:ind w:right="133"/>
              <w:jc w:val="both"/>
              <w:rPr>
                <w:rFonts w:ascii="Times New Roman" w:hAnsi="Times New Roman" w:cs="Times New Roman"/>
                <w:color w:val="auto"/>
                <w:shd w:val="clear" w:color="auto" w:fill="FFFFFF"/>
                <w:lang w:val="en-US"/>
              </w:rPr>
            </w:pPr>
            <w:r w:rsidRPr="002E4239">
              <w:rPr>
                <w:rFonts w:ascii="Times New Roman" w:hAnsi="Times New Roman" w:cs="Times New Roman"/>
                <w:b/>
                <w:color w:val="auto"/>
                <w:shd w:val="clear" w:color="auto" w:fill="FFFFFF"/>
                <w:lang w:val="en-US"/>
              </w:rPr>
              <w:t xml:space="preserve">Phụ lục II. </w:t>
            </w:r>
            <w:r w:rsidR="00041277" w:rsidRPr="002E4239">
              <w:rPr>
                <w:rFonts w:ascii="Times New Roman" w:hAnsi="Times New Roman" w:cs="Times New Roman"/>
                <w:color w:val="auto"/>
                <w:shd w:val="clear" w:color="auto" w:fill="FFFFFF"/>
                <w:lang w:val="en-US"/>
              </w:rPr>
              <w:t>Một số yếu tố ước tính doanh thu phát triển, chi phí phát triển của thửa đất, khu đất thực hiện dự án nhà ở liền kề và biệt thự</w:t>
            </w:r>
          </w:p>
        </w:tc>
        <w:tc>
          <w:tcPr>
            <w:tcW w:w="1037" w:type="pct"/>
            <w:shd w:val="clear" w:color="auto" w:fill="FFFFFF"/>
          </w:tcPr>
          <w:p w:rsidR="00FE1077" w:rsidRPr="002E4239" w:rsidRDefault="00E40128" w:rsidP="00917D7F">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
                <w:bCs/>
                <w:color w:val="auto"/>
                <w:lang w:val="en-US"/>
              </w:rPr>
              <w:t>Phụ lục II.</w:t>
            </w:r>
            <w:r w:rsidR="00A0488B" w:rsidRPr="002E4239">
              <w:rPr>
                <w:rFonts w:ascii="Times New Roman" w:hAnsi="Times New Roman" w:cs="Times New Roman"/>
                <w:b/>
                <w:bCs/>
                <w:color w:val="auto"/>
                <w:lang w:val="en-US"/>
              </w:rPr>
              <w:t xml:space="preserve"> </w:t>
            </w:r>
            <w:r w:rsidR="00A0488B" w:rsidRPr="002E4239">
              <w:rPr>
                <w:rFonts w:ascii="Times New Roman" w:hAnsi="Times New Roman" w:cs="Times New Roman"/>
                <w:bCs/>
                <w:color w:val="auto"/>
                <w:lang w:val="en-US"/>
              </w:rPr>
              <w:t>Quy định một số yếu tố hình thành doanh thu, các yếu tố ước tính chi phí phát triển theo phương pháp thặng dư đối với thửa đất, khu đất đầu tư xây dựng dự án nhà liền kề, nhà biệt thự được chuyển nhượng dưới hình thức phân lô, bán nền</w:t>
            </w:r>
          </w:p>
        </w:tc>
        <w:tc>
          <w:tcPr>
            <w:tcW w:w="938" w:type="pct"/>
            <w:shd w:val="clear" w:color="auto" w:fill="FFFFFF"/>
          </w:tcPr>
          <w:p w:rsidR="00FE1077" w:rsidRPr="002E4239" w:rsidRDefault="00A0488B" w:rsidP="00240796">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Cs/>
                <w:color w:val="auto"/>
                <w:lang w:val="en-US"/>
              </w:rPr>
              <w:t>Nội dung Phụ lục II của Quyết định số 69/2024/QĐ-UBND đã được thay thế bằng Phụ lục I</w:t>
            </w:r>
            <w:r w:rsidR="002627EB" w:rsidRPr="002E4239">
              <w:rPr>
                <w:rFonts w:ascii="Times New Roman" w:hAnsi="Times New Roman" w:cs="Times New Roman"/>
                <w:bCs/>
                <w:color w:val="auto"/>
                <w:lang w:val="en-US"/>
              </w:rPr>
              <w:t>I</w:t>
            </w:r>
            <w:r w:rsidRPr="002E4239">
              <w:rPr>
                <w:rFonts w:ascii="Times New Roman" w:hAnsi="Times New Roman" w:cs="Times New Roman"/>
                <w:bCs/>
                <w:color w:val="auto"/>
                <w:lang w:val="en-US"/>
              </w:rPr>
              <w:t xml:space="preserve"> của Quyết định số 39/2025/QĐ-UBND ngày 30 tháng 6 năm 2025</w:t>
            </w:r>
          </w:p>
        </w:tc>
        <w:tc>
          <w:tcPr>
            <w:tcW w:w="1174" w:type="pct"/>
            <w:shd w:val="clear" w:color="auto" w:fill="FFFFFF"/>
          </w:tcPr>
          <w:p w:rsidR="00FE1077" w:rsidRPr="002E4239" w:rsidRDefault="00A0488B" w:rsidP="00917D7F">
            <w:pPr>
              <w:spacing w:before="60" w:after="60"/>
              <w:ind w:left="127" w:right="137"/>
              <w:jc w:val="both"/>
              <w:rPr>
                <w:rFonts w:ascii="Times New Roman" w:hAnsi="Times New Roman" w:cs="Times New Roman"/>
                <w:b/>
                <w:bCs/>
                <w:color w:val="auto"/>
                <w:lang w:val="en-US"/>
              </w:rPr>
            </w:pPr>
            <w:r w:rsidRPr="002E4239">
              <w:rPr>
                <w:rFonts w:ascii="Times New Roman" w:hAnsi="Times New Roman" w:cs="Times New Roman"/>
                <w:b/>
                <w:bCs/>
                <w:color w:val="auto"/>
                <w:lang w:val="en-US"/>
              </w:rPr>
              <w:t xml:space="preserve">Phụ lục II. </w:t>
            </w:r>
            <w:r w:rsidRPr="002E4239">
              <w:rPr>
                <w:rFonts w:ascii="Times New Roman" w:hAnsi="Times New Roman" w:cs="Times New Roman"/>
                <w:bCs/>
                <w:color w:val="auto"/>
                <w:lang w:val="en-US"/>
              </w:rPr>
              <w:t>Quy định một số yếu tố hình thành doanh thu, các yếu tố ước tính chi phí phát triển theo phương pháp thặng dư đối với thửa đất, khu đất đầu tư xây dựng dự án nhà liền kề, nhà biệt thự được chuyển nhượng dưới hình thức phân lô, bán nền</w:t>
            </w:r>
          </w:p>
        </w:tc>
        <w:tc>
          <w:tcPr>
            <w:tcW w:w="926" w:type="pct"/>
            <w:shd w:val="clear" w:color="auto" w:fill="FFFFFF"/>
          </w:tcPr>
          <w:p w:rsidR="00FE1077" w:rsidRPr="002E4239" w:rsidRDefault="00240869" w:rsidP="00E32218">
            <w:pPr>
              <w:spacing w:before="60" w:after="60"/>
              <w:ind w:right="41"/>
              <w:jc w:val="both"/>
              <w:rPr>
                <w:rFonts w:ascii="Times New Roman" w:hAnsi="Times New Roman" w:cs="Times New Roman"/>
                <w:bCs/>
                <w:color w:val="auto"/>
                <w:lang w:val="en-US"/>
              </w:rPr>
            </w:pPr>
            <w:r w:rsidRPr="002E4239">
              <w:rPr>
                <w:rFonts w:ascii="Times New Roman" w:hAnsi="Times New Roman" w:cs="Times New Roman"/>
                <w:bCs/>
                <w:color w:val="auto"/>
                <w:lang w:val="en-US"/>
              </w:rPr>
              <w:t>Kế thừa nội dung Phụ lục II của Quyết định số 39/2025/QĐ-UBND ngày 30 tháng 6 năm 2025</w:t>
            </w:r>
          </w:p>
        </w:tc>
      </w:tr>
      <w:tr w:rsidR="003868FA" w:rsidRPr="002E4239" w:rsidTr="00F811E5">
        <w:trPr>
          <w:trHeight w:val="20"/>
          <w:jc w:val="center"/>
        </w:trPr>
        <w:tc>
          <w:tcPr>
            <w:tcW w:w="925" w:type="pct"/>
            <w:shd w:val="clear" w:color="auto" w:fill="FFFFFF"/>
          </w:tcPr>
          <w:p w:rsidR="003868FA" w:rsidRPr="002E4239" w:rsidRDefault="000510D0" w:rsidP="00BA660F">
            <w:pPr>
              <w:spacing w:before="60" w:after="60"/>
              <w:ind w:right="133"/>
              <w:jc w:val="both"/>
              <w:rPr>
                <w:rFonts w:ascii="Times New Roman" w:hAnsi="Times New Roman" w:cs="Times New Roman"/>
                <w:color w:val="auto"/>
                <w:shd w:val="clear" w:color="auto" w:fill="FFFFFF"/>
                <w:lang w:val="en-US"/>
              </w:rPr>
            </w:pPr>
            <w:r w:rsidRPr="002E4239">
              <w:rPr>
                <w:rFonts w:ascii="Times New Roman" w:hAnsi="Times New Roman" w:cs="Times New Roman"/>
                <w:b/>
                <w:color w:val="auto"/>
                <w:shd w:val="clear" w:color="auto" w:fill="FFFFFF"/>
                <w:lang w:val="en-US"/>
              </w:rPr>
              <w:t xml:space="preserve">Phụ lục III. </w:t>
            </w:r>
            <w:r w:rsidR="002627EB" w:rsidRPr="002E4239">
              <w:rPr>
                <w:rFonts w:ascii="Times New Roman" w:hAnsi="Times New Roman" w:cs="Times New Roman"/>
                <w:color w:val="auto"/>
                <w:shd w:val="clear" w:color="auto" w:fill="FFFFFF"/>
                <w:lang w:val="en-US"/>
              </w:rPr>
              <w:t xml:space="preserve">Một số yếu tố ước tính doanh thu phát </w:t>
            </w:r>
            <w:r w:rsidR="002627EB" w:rsidRPr="002E4239">
              <w:rPr>
                <w:rFonts w:ascii="Times New Roman" w:hAnsi="Times New Roman" w:cs="Times New Roman"/>
                <w:color w:val="auto"/>
                <w:shd w:val="clear" w:color="auto" w:fill="FFFFFF"/>
                <w:lang w:val="en-US"/>
              </w:rPr>
              <w:lastRenderedPageBreak/>
              <w:t>triển, chi phí phát triển của thửa đất, khu đất thực hiện dự án nhà ở được chuyển nhượng quyền sử dụng đất dưới hình thức phân lô bán nền</w:t>
            </w:r>
          </w:p>
        </w:tc>
        <w:tc>
          <w:tcPr>
            <w:tcW w:w="1037" w:type="pct"/>
            <w:shd w:val="clear" w:color="auto" w:fill="FFFFFF"/>
          </w:tcPr>
          <w:p w:rsidR="003868FA" w:rsidRPr="002E4239" w:rsidRDefault="002627EB" w:rsidP="00917D7F">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
                <w:bCs/>
                <w:color w:val="auto"/>
                <w:lang w:val="en-US"/>
              </w:rPr>
              <w:lastRenderedPageBreak/>
              <w:t xml:space="preserve">Phụ lục III. </w:t>
            </w:r>
            <w:r w:rsidRPr="002E4239">
              <w:rPr>
                <w:rFonts w:ascii="Times New Roman" w:hAnsi="Times New Roman" w:cs="Times New Roman"/>
                <w:bCs/>
                <w:color w:val="auto"/>
                <w:lang w:val="en-US"/>
              </w:rPr>
              <w:t xml:space="preserve">Quy định một số yếu tố hình thành doanh </w:t>
            </w:r>
            <w:r w:rsidRPr="002E4239">
              <w:rPr>
                <w:rFonts w:ascii="Times New Roman" w:hAnsi="Times New Roman" w:cs="Times New Roman"/>
                <w:bCs/>
                <w:color w:val="auto"/>
                <w:lang w:val="en-US"/>
              </w:rPr>
              <w:lastRenderedPageBreak/>
              <w:t>thu, các yếu tố ước tính chi phí phát triển theo phương pháp thặng dư đối với thửa đất, khu đất đầu tư xây dựng nhà chung cư</w:t>
            </w:r>
          </w:p>
        </w:tc>
        <w:tc>
          <w:tcPr>
            <w:tcW w:w="938" w:type="pct"/>
            <w:shd w:val="clear" w:color="auto" w:fill="FFFFFF"/>
          </w:tcPr>
          <w:p w:rsidR="003868FA" w:rsidRPr="002E4239" w:rsidRDefault="002627EB" w:rsidP="00240796">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Cs/>
                <w:color w:val="auto"/>
                <w:lang w:val="en-US"/>
              </w:rPr>
              <w:lastRenderedPageBreak/>
              <w:t xml:space="preserve">Nội dung Phụ lục III của Quyết định số </w:t>
            </w:r>
            <w:r w:rsidRPr="002E4239">
              <w:rPr>
                <w:rFonts w:ascii="Times New Roman" w:hAnsi="Times New Roman" w:cs="Times New Roman"/>
                <w:bCs/>
                <w:color w:val="auto"/>
                <w:lang w:val="en-US"/>
              </w:rPr>
              <w:lastRenderedPageBreak/>
              <w:t>69/2024/QĐ-UBND đã được thay thế bằng Phụ lục III của Quyết định số 39/2025/QĐ-UBND ngày 30 tháng 6 năm 2025</w:t>
            </w:r>
          </w:p>
        </w:tc>
        <w:tc>
          <w:tcPr>
            <w:tcW w:w="1174" w:type="pct"/>
            <w:shd w:val="clear" w:color="auto" w:fill="FFFFFF"/>
          </w:tcPr>
          <w:p w:rsidR="003868FA" w:rsidRPr="002E4239" w:rsidRDefault="002627EB" w:rsidP="00917D7F">
            <w:pPr>
              <w:spacing w:before="60" w:after="60"/>
              <w:ind w:left="127" w:right="137"/>
              <w:jc w:val="both"/>
              <w:rPr>
                <w:rFonts w:ascii="Times New Roman" w:hAnsi="Times New Roman" w:cs="Times New Roman"/>
                <w:b/>
                <w:bCs/>
                <w:color w:val="auto"/>
                <w:lang w:val="en-US"/>
              </w:rPr>
            </w:pPr>
            <w:r w:rsidRPr="002E4239">
              <w:rPr>
                <w:rFonts w:ascii="Times New Roman" w:hAnsi="Times New Roman" w:cs="Times New Roman"/>
                <w:b/>
                <w:bCs/>
                <w:color w:val="auto"/>
                <w:lang w:val="en-US"/>
              </w:rPr>
              <w:lastRenderedPageBreak/>
              <w:t>Phụ lục III.</w:t>
            </w:r>
            <w:r w:rsidR="0018614D" w:rsidRPr="002E4239">
              <w:rPr>
                <w:rFonts w:ascii="Times New Roman" w:hAnsi="Times New Roman" w:cs="Times New Roman"/>
                <w:b/>
                <w:bCs/>
                <w:color w:val="auto"/>
                <w:lang w:val="en-US"/>
              </w:rPr>
              <w:t xml:space="preserve"> </w:t>
            </w:r>
            <w:r w:rsidR="0018614D" w:rsidRPr="002E4239">
              <w:rPr>
                <w:rFonts w:ascii="Times New Roman" w:hAnsi="Times New Roman" w:cs="Times New Roman"/>
                <w:bCs/>
                <w:color w:val="auto"/>
                <w:lang w:val="en-US"/>
              </w:rPr>
              <w:t xml:space="preserve">Quy định một số yếu tố hình thành doanh thu, các </w:t>
            </w:r>
            <w:r w:rsidR="0018614D" w:rsidRPr="002E4239">
              <w:rPr>
                <w:rFonts w:ascii="Times New Roman" w:hAnsi="Times New Roman" w:cs="Times New Roman"/>
                <w:bCs/>
                <w:color w:val="auto"/>
                <w:lang w:val="en-US"/>
              </w:rPr>
              <w:lastRenderedPageBreak/>
              <w:t>yếu tố ước tính chi phí phát triển theo phương pháp thặng dư đối với thửa đất, khu đất đầu tư xây dựng nhà chung cư</w:t>
            </w:r>
          </w:p>
        </w:tc>
        <w:tc>
          <w:tcPr>
            <w:tcW w:w="926" w:type="pct"/>
            <w:shd w:val="clear" w:color="auto" w:fill="FFFFFF"/>
          </w:tcPr>
          <w:p w:rsidR="003868FA" w:rsidRPr="002E4239" w:rsidRDefault="0018614D" w:rsidP="00E32218">
            <w:pPr>
              <w:spacing w:before="60" w:after="60"/>
              <w:ind w:right="41"/>
              <w:jc w:val="both"/>
              <w:rPr>
                <w:rFonts w:ascii="Times New Roman" w:hAnsi="Times New Roman" w:cs="Times New Roman"/>
                <w:bCs/>
                <w:color w:val="auto"/>
                <w:lang w:val="en-US"/>
              </w:rPr>
            </w:pPr>
            <w:r w:rsidRPr="002E4239">
              <w:rPr>
                <w:rFonts w:ascii="Times New Roman" w:hAnsi="Times New Roman" w:cs="Times New Roman"/>
                <w:bCs/>
                <w:color w:val="auto"/>
                <w:lang w:val="en-US"/>
              </w:rPr>
              <w:lastRenderedPageBreak/>
              <w:t xml:space="preserve">Kế thừa nội dung Phụ lục III của Quyết định số </w:t>
            </w:r>
            <w:r w:rsidRPr="002E4239">
              <w:rPr>
                <w:rFonts w:ascii="Times New Roman" w:hAnsi="Times New Roman" w:cs="Times New Roman"/>
                <w:bCs/>
                <w:color w:val="auto"/>
                <w:lang w:val="en-US"/>
              </w:rPr>
              <w:lastRenderedPageBreak/>
              <w:t>39/2025/QĐ-UBND ngày 30 tháng 6 năm 2025</w:t>
            </w:r>
          </w:p>
        </w:tc>
      </w:tr>
      <w:tr w:rsidR="003868FA" w:rsidRPr="002E4239" w:rsidTr="00F811E5">
        <w:trPr>
          <w:trHeight w:val="20"/>
          <w:jc w:val="center"/>
        </w:trPr>
        <w:tc>
          <w:tcPr>
            <w:tcW w:w="925" w:type="pct"/>
            <w:shd w:val="clear" w:color="auto" w:fill="FFFFFF"/>
          </w:tcPr>
          <w:p w:rsidR="003868FA" w:rsidRPr="002E4239" w:rsidRDefault="0018614D" w:rsidP="00BA660F">
            <w:pPr>
              <w:spacing w:before="60" w:after="60"/>
              <w:ind w:right="133"/>
              <w:jc w:val="both"/>
              <w:rPr>
                <w:rFonts w:ascii="Times New Roman" w:hAnsi="Times New Roman" w:cs="Times New Roman"/>
                <w:color w:val="auto"/>
                <w:shd w:val="clear" w:color="auto" w:fill="FFFFFF"/>
                <w:lang w:val="en-US"/>
              </w:rPr>
            </w:pPr>
            <w:r w:rsidRPr="002E4239">
              <w:rPr>
                <w:rFonts w:ascii="Times New Roman" w:hAnsi="Times New Roman" w:cs="Times New Roman"/>
                <w:b/>
                <w:color w:val="auto"/>
                <w:shd w:val="clear" w:color="auto" w:fill="FFFFFF"/>
                <w:lang w:val="en-US"/>
              </w:rPr>
              <w:lastRenderedPageBreak/>
              <w:t xml:space="preserve">Phụ lục IV. </w:t>
            </w:r>
            <w:r w:rsidR="00CC032F" w:rsidRPr="002E4239">
              <w:rPr>
                <w:rFonts w:ascii="Times New Roman" w:hAnsi="Times New Roman" w:cs="Times New Roman"/>
                <w:color w:val="auto"/>
                <w:shd w:val="clear" w:color="auto" w:fill="FFFFFF"/>
                <w:lang w:val="en-US"/>
              </w:rPr>
              <w:t>Một số yếu tố ước tính doanh thu phát triển, chi phí phát triển của thửa đất, khu đất thực hiện dự án đầu tư xây dựng kinh doanh kết cấu hạ tầng khu công nghiệp, cụm công nghiệp</w:t>
            </w:r>
          </w:p>
        </w:tc>
        <w:tc>
          <w:tcPr>
            <w:tcW w:w="1037" w:type="pct"/>
            <w:shd w:val="clear" w:color="auto" w:fill="FFFFFF"/>
          </w:tcPr>
          <w:p w:rsidR="003868FA" w:rsidRPr="002E4239" w:rsidRDefault="00CC032F" w:rsidP="00917D7F">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
                <w:bCs/>
                <w:color w:val="auto"/>
                <w:lang w:val="en-US"/>
              </w:rPr>
              <w:t xml:space="preserve">Phụ lục IV. </w:t>
            </w:r>
            <w:r w:rsidR="001067F9" w:rsidRPr="002E4239">
              <w:rPr>
                <w:rFonts w:ascii="Times New Roman" w:hAnsi="Times New Roman" w:cs="Times New Roman"/>
                <w:bCs/>
                <w:color w:val="auto"/>
                <w:lang w:val="en-US"/>
              </w:rPr>
              <w:t>Quy định một số yếu tố hình thành doanh thu, các yếu tố ước tính chi phí phát triển theo phương pháp thặng dư đối với thửa đất, khu đất đầu tư xây dựng văn phòng, cơ sở thương mại dịch vụ</w:t>
            </w:r>
          </w:p>
        </w:tc>
        <w:tc>
          <w:tcPr>
            <w:tcW w:w="938" w:type="pct"/>
            <w:shd w:val="clear" w:color="auto" w:fill="FFFFFF"/>
          </w:tcPr>
          <w:p w:rsidR="003868FA" w:rsidRPr="002E4239" w:rsidRDefault="00E91E23" w:rsidP="00E91E23">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Cs/>
                <w:color w:val="auto"/>
                <w:lang w:val="en-US"/>
              </w:rPr>
              <w:t>Nội dung Phụ lục IV của Quyết định số 69/2024/QĐ-UBND đã được thay thế bằng Phụ lục IV của Quyết định số 39/2025/QĐ-UBND ngày 30 tháng 6 năm 2025</w:t>
            </w:r>
          </w:p>
        </w:tc>
        <w:tc>
          <w:tcPr>
            <w:tcW w:w="1174" w:type="pct"/>
            <w:shd w:val="clear" w:color="auto" w:fill="FFFFFF"/>
          </w:tcPr>
          <w:p w:rsidR="003868FA" w:rsidRPr="002E4239" w:rsidRDefault="00BD735B" w:rsidP="00917D7F">
            <w:pPr>
              <w:spacing w:before="60" w:after="60"/>
              <w:ind w:left="127" w:right="137"/>
              <w:jc w:val="both"/>
              <w:rPr>
                <w:rFonts w:ascii="Times New Roman" w:hAnsi="Times New Roman" w:cs="Times New Roman"/>
                <w:b/>
                <w:bCs/>
                <w:color w:val="auto"/>
                <w:lang w:val="en-US"/>
              </w:rPr>
            </w:pPr>
            <w:r w:rsidRPr="002E4239">
              <w:rPr>
                <w:rFonts w:ascii="Times New Roman" w:hAnsi="Times New Roman" w:cs="Times New Roman"/>
                <w:b/>
                <w:bCs/>
                <w:color w:val="auto"/>
                <w:lang w:val="en-US"/>
              </w:rPr>
              <w:t xml:space="preserve">Phụ lục IV. </w:t>
            </w:r>
            <w:r w:rsidRPr="002E4239">
              <w:rPr>
                <w:rFonts w:ascii="Times New Roman" w:hAnsi="Times New Roman" w:cs="Times New Roman"/>
                <w:bCs/>
                <w:color w:val="auto"/>
                <w:lang w:val="en-US"/>
              </w:rPr>
              <w:t>Quy định một số yếu tố hình thành doanh thu, các yếu tố ước tính chi phí phát triển theo phương pháp thặng dư đối với thửa đất, khu đất đầu tư xây dựng văn phòng, cơ sở thương mại dịch vụ</w:t>
            </w:r>
          </w:p>
        </w:tc>
        <w:tc>
          <w:tcPr>
            <w:tcW w:w="926" w:type="pct"/>
            <w:shd w:val="clear" w:color="auto" w:fill="FFFFFF"/>
          </w:tcPr>
          <w:p w:rsidR="003868FA" w:rsidRPr="002E4239" w:rsidRDefault="00BD735B" w:rsidP="00BD735B">
            <w:pPr>
              <w:spacing w:before="60" w:after="60"/>
              <w:ind w:right="41"/>
              <w:jc w:val="both"/>
              <w:rPr>
                <w:rFonts w:ascii="Times New Roman" w:hAnsi="Times New Roman" w:cs="Times New Roman"/>
                <w:bCs/>
                <w:color w:val="auto"/>
                <w:lang w:val="en-US"/>
              </w:rPr>
            </w:pPr>
            <w:r w:rsidRPr="002E4239">
              <w:rPr>
                <w:rFonts w:ascii="Times New Roman" w:hAnsi="Times New Roman" w:cs="Times New Roman"/>
                <w:bCs/>
                <w:color w:val="auto"/>
                <w:lang w:val="en-US"/>
              </w:rPr>
              <w:t>Kế thừa nội dung Phụ lục IV của Quyết định số 39/2025/QĐ-UBND ngày 30 tháng 6 năm 2025</w:t>
            </w:r>
          </w:p>
        </w:tc>
      </w:tr>
      <w:tr w:rsidR="0018614D" w:rsidRPr="002E4239" w:rsidTr="00F811E5">
        <w:trPr>
          <w:trHeight w:val="20"/>
          <w:jc w:val="center"/>
        </w:trPr>
        <w:tc>
          <w:tcPr>
            <w:tcW w:w="925" w:type="pct"/>
            <w:shd w:val="clear" w:color="auto" w:fill="FFFFFF"/>
          </w:tcPr>
          <w:p w:rsidR="0018614D" w:rsidRPr="002E4239" w:rsidRDefault="00352D02" w:rsidP="00BA660F">
            <w:pPr>
              <w:spacing w:before="60" w:after="60"/>
              <w:ind w:right="133"/>
              <w:jc w:val="both"/>
              <w:rPr>
                <w:rFonts w:ascii="Times New Roman" w:hAnsi="Times New Roman" w:cs="Times New Roman"/>
                <w:color w:val="auto"/>
                <w:shd w:val="clear" w:color="auto" w:fill="FFFFFF"/>
                <w:lang w:val="en-US"/>
              </w:rPr>
            </w:pPr>
            <w:r w:rsidRPr="002E4239">
              <w:rPr>
                <w:rFonts w:ascii="Times New Roman" w:hAnsi="Times New Roman" w:cs="Times New Roman"/>
                <w:b/>
                <w:color w:val="auto"/>
                <w:shd w:val="clear" w:color="auto" w:fill="FFFFFF"/>
                <w:lang w:val="en-US"/>
              </w:rPr>
              <w:t xml:space="preserve">Phụ lục V. </w:t>
            </w:r>
            <w:r w:rsidRPr="002E4239">
              <w:rPr>
                <w:rFonts w:ascii="Times New Roman" w:hAnsi="Times New Roman" w:cs="Times New Roman"/>
                <w:color w:val="auto"/>
                <w:shd w:val="clear" w:color="auto" w:fill="FFFFFF"/>
                <w:lang w:val="en-US"/>
              </w:rPr>
              <w:t>Một số yếu tố ước tính doanh thu phát triển, chi phí phát triển của thửa đất, khu đất thực hiện dự án đầu tư phi nông nghiệp (trừ đất ở, đất khu công nghiệp, đất cụm công nghiệp)</w:t>
            </w:r>
          </w:p>
        </w:tc>
        <w:tc>
          <w:tcPr>
            <w:tcW w:w="1037" w:type="pct"/>
            <w:shd w:val="clear" w:color="auto" w:fill="FFFFFF"/>
          </w:tcPr>
          <w:p w:rsidR="0018614D" w:rsidRPr="002E4239" w:rsidRDefault="00352D02" w:rsidP="002B2D72">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
                <w:bCs/>
                <w:color w:val="auto"/>
                <w:lang w:val="en-US"/>
              </w:rPr>
              <w:t>Phụ lục V.</w:t>
            </w:r>
            <w:r w:rsidRPr="002E4239">
              <w:rPr>
                <w:rFonts w:ascii="Times New Roman" w:hAnsi="Times New Roman" w:cs="Times New Roman"/>
                <w:bCs/>
                <w:color w:val="auto"/>
                <w:lang w:val="en-US"/>
              </w:rPr>
              <w:t xml:space="preserve"> Quy định một số yếu tố hình thành doanh thu, các yếu tố ước tính chi phí phát triển theo phương pháp thặng dư đối với thửa đất, khu đất đầu tư xây dựng </w:t>
            </w:r>
            <w:r w:rsidR="002B2D72" w:rsidRPr="002E4239">
              <w:rPr>
                <w:rFonts w:ascii="Times New Roman" w:hAnsi="Times New Roman" w:cs="Times New Roman"/>
                <w:bCs/>
                <w:color w:val="auto"/>
                <w:lang w:val="en-US"/>
              </w:rPr>
              <w:t>khu công nghiệp, cụm công nghiệp</w:t>
            </w:r>
          </w:p>
        </w:tc>
        <w:tc>
          <w:tcPr>
            <w:tcW w:w="938" w:type="pct"/>
            <w:shd w:val="clear" w:color="auto" w:fill="FFFFFF"/>
          </w:tcPr>
          <w:p w:rsidR="0018614D" w:rsidRPr="002E4239" w:rsidRDefault="00352D02" w:rsidP="00240796">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Cs/>
                <w:color w:val="auto"/>
                <w:lang w:val="en-US"/>
              </w:rPr>
              <w:t>Nội dung Phụ lục V của Quyết định số 69/2024/QĐ-UBND đã được thay thế bằng Phụ lục V của Quyết định số 39/2025/QĐ-UBND ngày 30 tháng 6 năm 2025</w:t>
            </w:r>
          </w:p>
        </w:tc>
        <w:tc>
          <w:tcPr>
            <w:tcW w:w="1174" w:type="pct"/>
            <w:shd w:val="clear" w:color="auto" w:fill="FFFFFF"/>
          </w:tcPr>
          <w:p w:rsidR="0018614D" w:rsidRPr="002E4239" w:rsidRDefault="00A127FD" w:rsidP="00917D7F">
            <w:pPr>
              <w:spacing w:before="60" w:after="60"/>
              <w:ind w:left="127" w:right="137"/>
              <w:jc w:val="both"/>
              <w:rPr>
                <w:rFonts w:ascii="Times New Roman" w:hAnsi="Times New Roman" w:cs="Times New Roman"/>
                <w:b/>
                <w:bCs/>
                <w:color w:val="auto"/>
                <w:lang w:val="en-US"/>
              </w:rPr>
            </w:pPr>
            <w:r w:rsidRPr="002E4239">
              <w:rPr>
                <w:rFonts w:ascii="Times New Roman" w:hAnsi="Times New Roman" w:cs="Times New Roman"/>
                <w:b/>
                <w:bCs/>
                <w:color w:val="auto"/>
                <w:lang w:val="en-US"/>
              </w:rPr>
              <w:t>Phụ lục V.</w:t>
            </w:r>
            <w:r w:rsidRPr="002E4239">
              <w:rPr>
                <w:rFonts w:ascii="Times New Roman" w:hAnsi="Times New Roman" w:cs="Times New Roman"/>
                <w:bCs/>
                <w:color w:val="auto"/>
                <w:lang w:val="en-US"/>
              </w:rPr>
              <w:t xml:space="preserve"> Quy định một số yếu tố hình thành doanh thu, các yếu tố ước tính chi phí phát triển theo phương pháp thặng dư đối với thửa đất, khu đất đầu tư xây dựng khu công nghiệp, cụm công nghiệp</w:t>
            </w:r>
          </w:p>
        </w:tc>
        <w:tc>
          <w:tcPr>
            <w:tcW w:w="926" w:type="pct"/>
            <w:shd w:val="clear" w:color="auto" w:fill="FFFFFF"/>
          </w:tcPr>
          <w:p w:rsidR="0018614D" w:rsidRPr="002E4239" w:rsidRDefault="00243FA5" w:rsidP="00E32218">
            <w:pPr>
              <w:spacing w:before="60" w:after="60"/>
              <w:ind w:right="41"/>
              <w:jc w:val="both"/>
              <w:rPr>
                <w:rFonts w:ascii="Times New Roman" w:hAnsi="Times New Roman" w:cs="Times New Roman"/>
                <w:bCs/>
                <w:color w:val="auto"/>
                <w:lang w:val="en-US"/>
              </w:rPr>
            </w:pPr>
            <w:r w:rsidRPr="002E4239">
              <w:rPr>
                <w:rFonts w:ascii="Times New Roman" w:hAnsi="Times New Roman" w:cs="Times New Roman"/>
                <w:bCs/>
                <w:color w:val="auto"/>
                <w:lang w:val="en-US"/>
              </w:rPr>
              <w:t>Mục 1.I Phụ lục V</w:t>
            </w:r>
            <w:r w:rsidR="0082519E" w:rsidRPr="002E4239">
              <w:rPr>
                <w:rFonts w:ascii="Times New Roman" w:hAnsi="Times New Roman" w:cs="Times New Roman"/>
                <w:bCs/>
                <w:color w:val="auto"/>
                <w:lang w:val="en-US"/>
              </w:rPr>
              <w:t xml:space="preserve"> của Dự thảo</w:t>
            </w:r>
            <w:r w:rsidRPr="002E4239">
              <w:rPr>
                <w:rFonts w:ascii="Times New Roman" w:hAnsi="Times New Roman" w:cs="Times New Roman"/>
                <w:bCs/>
                <w:color w:val="auto"/>
                <w:lang w:val="en-US"/>
              </w:rPr>
              <w:t xml:space="preserve">: Kế thừa mục 1.I Phụ lục IV của </w:t>
            </w:r>
            <w:r w:rsidR="0082519E" w:rsidRPr="002E4239">
              <w:rPr>
                <w:rFonts w:ascii="Times New Roman" w:hAnsi="Times New Roman" w:cs="Times New Roman"/>
                <w:bCs/>
                <w:color w:val="auto"/>
                <w:lang w:val="en-US"/>
              </w:rPr>
              <w:t>Quyết định số 06/2025/QĐ-UBND; Mục 2.I, 3.I và mục II của Dự thảo: Kế thừa mục 2.I, 3.I và mục II Phụ lục V của Quyết định số 39/2025/QĐ-UBND.</w:t>
            </w:r>
          </w:p>
        </w:tc>
      </w:tr>
      <w:tr w:rsidR="00352D02" w:rsidRPr="002E4239" w:rsidTr="00F811E5">
        <w:trPr>
          <w:trHeight w:val="20"/>
          <w:jc w:val="center"/>
        </w:trPr>
        <w:tc>
          <w:tcPr>
            <w:tcW w:w="925" w:type="pct"/>
            <w:shd w:val="clear" w:color="auto" w:fill="FFFFFF"/>
          </w:tcPr>
          <w:p w:rsidR="00352D02" w:rsidRPr="002E4239" w:rsidRDefault="0082519E" w:rsidP="00BA660F">
            <w:pPr>
              <w:spacing w:before="60" w:after="60"/>
              <w:ind w:right="133"/>
              <w:jc w:val="both"/>
              <w:rPr>
                <w:rFonts w:ascii="Times New Roman" w:hAnsi="Times New Roman" w:cs="Times New Roman"/>
                <w:color w:val="auto"/>
                <w:shd w:val="clear" w:color="auto" w:fill="FFFFFF"/>
                <w:lang w:val="en-US"/>
              </w:rPr>
            </w:pPr>
            <w:r w:rsidRPr="002E4239">
              <w:rPr>
                <w:rFonts w:ascii="Times New Roman" w:hAnsi="Times New Roman" w:cs="Times New Roman"/>
                <w:b/>
                <w:color w:val="auto"/>
                <w:shd w:val="clear" w:color="auto" w:fill="FFFFFF"/>
                <w:lang w:val="en-US"/>
              </w:rPr>
              <w:t xml:space="preserve">Phụ lục VI. </w:t>
            </w:r>
            <w:r w:rsidR="00BE2112" w:rsidRPr="002E4239">
              <w:rPr>
                <w:rFonts w:ascii="Times New Roman" w:hAnsi="Times New Roman" w:cs="Times New Roman"/>
                <w:color w:val="auto"/>
                <w:shd w:val="clear" w:color="auto" w:fill="FFFFFF"/>
                <w:lang w:val="en-US"/>
              </w:rPr>
              <w:t xml:space="preserve">Các yếu tố ảnh hưởng đến giá đất </w:t>
            </w:r>
            <w:r w:rsidR="00BE2112" w:rsidRPr="002E4239">
              <w:rPr>
                <w:rFonts w:ascii="Times New Roman" w:hAnsi="Times New Roman" w:cs="Times New Roman"/>
                <w:color w:val="auto"/>
                <w:shd w:val="clear" w:color="auto" w:fill="FFFFFF"/>
                <w:lang w:val="en-US"/>
              </w:rPr>
              <w:lastRenderedPageBreak/>
              <w:t>trong việc xác định giá đất cụ thể</w:t>
            </w:r>
          </w:p>
        </w:tc>
        <w:tc>
          <w:tcPr>
            <w:tcW w:w="1037" w:type="pct"/>
            <w:shd w:val="clear" w:color="auto" w:fill="FFFFFF"/>
          </w:tcPr>
          <w:p w:rsidR="00352D02" w:rsidRPr="002E4239" w:rsidRDefault="00BE2112" w:rsidP="00917D7F">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
                <w:bCs/>
                <w:color w:val="auto"/>
                <w:lang w:val="en-US"/>
              </w:rPr>
              <w:lastRenderedPageBreak/>
              <w:t xml:space="preserve">Phụ lục VI. </w:t>
            </w:r>
            <w:r w:rsidR="006F6646" w:rsidRPr="002E4239">
              <w:rPr>
                <w:rFonts w:ascii="Times New Roman" w:hAnsi="Times New Roman" w:cs="Times New Roman"/>
                <w:bCs/>
                <w:color w:val="auto"/>
                <w:lang w:val="en-US"/>
              </w:rPr>
              <w:t xml:space="preserve">Quy định một số yếu tố hình thành doanh </w:t>
            </w:r>
            <w:r w:rsidR="006F6646" w:rsidRPr="002E4239">
              <w:rPr>
                <w:rFonts w:ascii="Times New Roman" w:hAnsi="Times New Roman" w:cs="Times New Roman"/>
                <w:bCs/>
                <w:color w:val="auto"/>
                <w:lang w:val="en-US"/>
              </w:rPr>
              <w:lastRenderedPageBreak/>
              <w:t>thu, các yếu tố ước tính chi phí phát triển theo phương pháp thặng dư đối với thửa đất, khu đất đầu tư xây dựng với mục đích sử dụng đất là đất phi nông nghiệp (trừ thửa đất, khu đất quy định tại các điểm a, b, c, d và đ khoản 2 Điều 3 Quyết định này)</w:t>
            </w:r>
          </w:p>
        </w:tc>
        <w:tc>
          <w:tcPr>
            <w:tcW w:w="938" w:type="pct"/>
            <w:shd w:val="clear" w:color="auto" w:fill="FFFFFF"/>
          </w:tcPr>
          <w:p w:rsidR="006F6646" w:rsidRPr="002E4239" w:rsidRDefault="006F6646" w:rsidP="006F6646">
            <w:pPr>
              <w:spacing w:before="60" w:after="60"/>
              <w:ind w:left="127" w:right="137"/>
              <w:jc w:val="both"/>
              <w:rPr>
                <w:rFonts w:ascii="Times New Roman" w:hAnsi="Times New Roman" w:cs="Times New Roman"/>
                <w:bCs/>
                <w:color w:val="auto"/>
                <w:lang w:val="en-US"/>
              </w:rPr>
            </w:pPr>
            <w:r w:rsidRPr="002E4239">
              <w:rPr>
                <w:rFonts w:ascii="Times New Roman" w:hAnsi="Times New Roman" w:cs="Times New Roman"/>
                <w:bCs/>
                <w:color w:val="auto"/>
                <w:lang w:val="en-US"/>
              </w:rPr>
              <w:lastRenderedPageBreak/>
              <w:t xml:space="preserve">Giữ nguyên nội dung Phụ lục VI của Quyết </w:t>
            </w:r>
            <w:r w:rsidRPr="002E4239">
              <w:rPr>
                <w:rFonts w:ascii="Times New Roman" w:hAnsi="Times New Roman" w:cs="Times New Roman"/>
                <w:bCs/>
                <w:color w:val="auto"/>
                <w:lang w:val="en-US"/>
              </w:rPr>
              <w:lastRenderedPageBreak/>
              <w:t>định số 69/2024/QĐ-UBND ngày 08 tháng 11 năm 2024 của UBND tỉnh Đồng Nai (cũ)</w:t>
            </w:r>
          </w:p>
          <w:p w:rsidR="00352D02" w:rsidRPr="002E4239" w:rsidRDefault="00352D02" w:rsidP="00240796">
            <w:pPr>
              <w:spacing w:before="60" w:after="60"/>
              <w:ind w:left="127" w:right="137"/>
              <w:jc w:val="both"/>
              <w:rPr>
                <w:rFonts w:ascii="Times New Roman" w:hAnsi="Times New Roman" w:cs="Times New Roman"/>
                <w:bCs/>
                <w:color w:val="auto"/>
                <w:lang w:val="en-US"/>
              </w:rPr>
            </w:pPr>
          </w:p>
        </w:tc>
        <w:tc>
          <w:tcPr>
            <w:tcW w:w="1174" w:type="pct"/>
            <w:shd w:val="clear" w:color="auto" w:fill="FFFFFF"/>
          </w:tcPr>
          <w:p w:rsidR="00352D02" w:rsidRPr="002E4239" w:rsidRDefault="006F6646" w:rsidP="00917D7F">
            <w:pPr>
              <w:spacing w:before="60" w:after="60"/>
              <w:ind w:left="127" w:right="137"/>
              <w:jc w:val="both"/>
              <w:rPr>
                <w:rFonts w:ascii="Times New Roman" w:hAnsi="Times New Roman" w:cs="Times New Roman"/>
                <w:b/>
                <w:bCs/>
                <w:color w:val="auto"/>
                <w:lang w:val="en-US"/>
              </w:rPr>
            </w:pPr>
            <w:r w:rsidRPr="002E4239">
              <w:rPr>
                <w:rFonts w:ascii="Times New Roman" w:hAnsi="Times New Roman" w:cs="Times New Roman"/>
                <w:b/>
                <w:bCs/>
                <w:color w:val="auto"/>
                <w:lang w:val="en-US"/>
              </w:rPr>
              <w:lastRenderedPageBreak/>
              <w:t xml:space="preserve">Phụ lục VI. </w:t>
            </w:r>
            <w:r w:rsidRPr="002E4239">
              <w:rPr>
                <w:rFonts w:ascii="Times New Roman" w:hAnsi="Times New Roman" w:cs="Times New Roman"/>
                <w:bCs/>
                <w:color w:val="auto"/>
                <w:lang w:val="en-US"/>
              </w:rPr>
              <w:t xml:space="preserve">Quy định một số yếu tố hình thành doanh thu, các </w:t>
            </w:r>
            <w:r w:rsidRPr="002E4239">
              <w:rPr>
                <w:rFonts w:ascii="Times New Roman" w:hAnsi="Times New Roman" w:cs="Times New Roman"/>
                <w:bCs/>
                <w:color w:val="auto"/>
                <w:lang w:val="en-US"/>
              </w:rPr>
              <w:lastRenderedPageBreak/>
              <w:t>yếu tố ước tính chi phí phát triển theo phương pháp thặng dư đối với thửa đất, khu đất đầu tư xây dựng với mục đích sử dụng đất là đất phi nông nghiệp (trừ thửa đất, khu đất quy định tại các điểm a, b, c, d và đ khoản 2 Điều 3 Quyết định này)</w:t>
            </w:r>
          </w:p>
        </w:tc>
        <w:tc>
          <w:tcPr>
            <w:tcW w:w="926" w:type="pct"/>
            <w:shd w:val="clear" w:color="auto" w:fill="FFFFFF"/>
          </w:tcPr>
          <w:p w:rsidR="00352D02" w:rsidRPr="002E4239" w:rsidRDefault="006F6646" w:rsidP="00E32218">
            <w:pPr>
              <w:spacing w:before="60" w:after="60"/>
              <w:ind w:right="41"/>
              <w:jc w:val="both"/>
              <w:rPr>
                <w:rFonts w:ascii="Times New Roman" w:hAnsi="Times New Roman" w:cs="Times New Roman"/>
                <w:bCs/>
                <w:color w:val="auto"/>
                <w:lang w:val="en-US"/>
              </w:rPr>
            </w:pPr>
            <w:r w:rsidRPr="002E4239">
              <w:rPr>
                <w:rFonts w:ascii="Times New Roman" w:hAnsi="Times New Roman" w:cs="Times New Roman"/>
                <w:bCs/>
                <w:color w:val="auto"/>
                <w:lang w:val="en-US"/>
              </w:rPr>
              <w:lastRenderedPageBreak/>
              <w:t xml:space="preserve">Kế thừa Phụ lục VI của Quyết định số </w:t>
            </w:r>
            <w:r w:rsidRPr="002E4239">
              <w:rPr>
                <w:rFonts w:ascii="Times New Roman" w:hAnsi="Times New Roman" w:cs="Times New Roman"/>
                <w:bCs/>
                <w:color w:val="auto"/>
                <w:lang w:val="en-US"/>
              </w:rPr>
              <w:lastRenderedPageBreak/>
              <w:t>69/2024/QĐ-UBND ngày 08 tháng 11 năm 2024 của UBND tỉnh Đồng Nai (cũ)</w:t>
            </w:r>
          </w:p>
        </w:tc>
      </w:tr>
    </w:tbl>
    <w:p w:rsidR="001F3C76" w:rsidRPr="002E4239" w:rsidRDefault="001F3C76">
      <w:pPr>
        <w:rPr>
          <w:rFonts w:ascii="Times New Roman" w:hAnsi="Times New Roman" w:cs="Times New Roman"/>
          <w:color w:val="auto"/>
          <w:sz w:val="28"/>
          <w:szCs w:val="28"/>
        </w:rPr>
      </w:pPr>
    </w:p>
    <w:p w:rsidR="004D491E" w:rsidRPr="002E4239" w:rsidRDefault="004D491E">
      <w:pPr>
        <w:rPr>
          <w:rFonts w:ascii="Times New Roman" w:hAnsi="Times New Roman" w:cs="Times New Roman"/>
          <w:color w:val="auto"/>
          <w:sz w:val="28"/>
          <w:szCs w:val="28"/>
        </w:rPr>
      </w:pPr>
    </w:p>
    <w:sectPr w:rsidR="004D491E" w:rsidRPr="002E4239" w:rsidSect="008A4B1B">
      <w:headerReference w:type="even" r:id="rId7"/>
      <w:headerReference w:type="default" r:id="rId8"/>
      <w:pgSz w:w="16840" w:h="11907" w:orient="landscape" w:code="9"/>
      <w:pgMar w:top="1134" w:right="851" w:bottom="1134" w:left="1701" w:header="0" w:footer="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03E" w:rsidRDefault="00CE403E" w:rsidP="00807F59">
      <w:r>
        <w:separator/>
      </w:r>
    </w:p>
  </w:endnote>
  <w:endnote w:type="continuationSeparator" w:id="1">
    <w:p w:rsidR="00CE403E" w:rsidRDefault="00CE403E" w:rsidP="00807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03E" w:rsidRDefault="00CE403E" w:rsidP="00807F59">
      <w:r>
        <w:separator/>
      </w:r>
    </w:p>
  </w:footnote>
  <w:footnote w:type="continuationSeparator" w:id="1">
    <w:p w:rsidR="00CE403E" w:rsidRDefault="00CE403E" w:rsidP="00807F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D02" w:rsidRDefault="00352D02">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95295282"/>
      <w:docPartObj>
        <w:docPartGallery w:val="Page Numbers (Top of Page)"/>
        <w:docPartUnique/>
      </w:docPartObj>
    </w:sdtPr>
    <w:sdtContent>
      <w:p w:rsidR="00352D02" w:rsidRDefault="00352D02">
        <w:pPr>
          <w:pStyle w:val="Header"/>
          <w:jc w:val="center"/>
          <w:rPr>
            <w:lang w:val="en-US"/>
          </w:rPr>
        </w:pPr>
      </w:p>
      <w:p w:rsidR="00352D02" w:rsidRDefault="005769D0">
        <w:pPr>
          <w:pStyle w:val="Header"/>
          <w:jc w:val="center"/>
        </w:pPr>
        <w:r w:rsidRPr="008F2F98">
          <w:rPr>
            <w:rFonts w:ascii="Times New Roman" w:hAnsi="Times New Roman" w:cs="Times New Roman"/>
          </w:rPr>
          <w:fldChar w:fldCharType="begin"/>
        </w:r>
        <w:r w:rsidR="00352D02" w:rsidRPr="008F2F98">
          <w:rPr>
            <w:rFonts w:ascii="Times New Roman" w:hAnsi="Times New Roman" w:cs="Times New Roman"/>
          </w:rPr>
          <w:instrText xml:space="preserve"> PAGE   \* MERGEFORMAT </w:instrText>
        </w:r>
        <w:r w:rsidRPr="008F2F98">
          <w:rPr>
            <w:rFonts w:ascii="Times New Roman" w:hAnsi="Times New Roman" w:cs="Times New Roman"/>
          </w:rPr>
          <w:fldChar w:fldCharType="separate"/>
        </w:r>
        <w:r w:rsidR="009F34BE">
          <w:rPr>
            <w:rFonts w:ascii="Times New Roman" w:hAnsi="Times New Roman" w:cs="Times New Roman"/>
            <w:noProof/>
          </w:rPr>
          <w:t>6</w:t>
        </w:r>
        <w:r w:rsidRPr="008F2F98">
          <w:rPr>
            <w:rFonts w:ascii="Times New Roman" w:hAnsi="Times New Roman" w:cs="Times New Roman"/>
          </w:rPr>
          <w:fldChar w:fldCharType="end"/>
        </w:r>
      </w:p>
    </w:sdtContent>
  </w:sdt>
  <w:p w:rsidR="00352D02" w:rsidRDefault="00352D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E37EAC"/>
    <w:multiLevelType w:val="hybridMultilevel"/>
    <w:tmpl w:val="1EA02082"/>
    <w:lvl w:ilvl="0" w:tplc="B1D493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D4F2A"/>
    <w:rsid w:val="00001A6E"/>
    <w:rsid w:val="00001D64"/>
    <w:rsid w:val="000026DA"/>
    <w:rsid w:val="00010234"/>
    <w:rsid w:val="000114FE"/>
    <w:rsid w:val="00011830"/>
    <w:rsid w:val="0001344D"/>
    <w:rsid w:val="00014EFD"/>
    <w:rsid w:val="000152EC"/>
    <w:rsid w:val="00015699"/>
    <w:rsid w:val="00016C43"/>
    <w:rsid w:val="000231D7"/>
    <w:rsid w:val="00024CF7"/>
    <w:rsid w:val="0003042D"/>
    <w:rsid w:val="00032FC4"/>
    <w:rsid w:val="00035A69"/>
    <w:rsid w:val="00036DA9"/>
    <w:rsid w:val="0003753D"/>
    <w:rsid w:val="00041277"/>
    <w:rsid w:val="000448E5"/>
    <w:rsid w:val="00045949"/>
    <w:rsid w:val="000460AC"/>
    <w:rsid w:val="000510D0"/>
    <w:rsid w:val="0005148C"/>
    <w:rsid w:val="000516B3"/>
    <w:rsid w:val="0005633C"/>
    <w:rsid w:val="00066132"/>
    <w:rsid w:val="00071A5C"/>
    <w:rsid w:val="00072A7A"/>
    <w:rsid w:val="00073192"/>
    <w:rsid w:val="0008157E"/>
    <w:rsid w:val="0008178F"/>
    <w:rsid w:val="000826DB"/>
    <w:rsid w:val="0008451F"/>
    <w:rsid w:val="000850BD"/>
    <w:rsid w:val="000863B7"/>
    <w:rsid w:val="00086AC1"/>
    <w:rsid w:val="00087256"/>
    <w:rsid w:val="000873E0"/>
    <w:rsid w:val="00090874"/>
    <w:rsid w:val="000908B8"/>
    <w:rsid w:val="00091A8D"/>
    <w:rsid w:val="00092E32"/>
    <w:rsid w:val="000938F4"/>
    <w:rsid w:val="000A00BB"/>
    <w:rsid w:val="000A1547"/>
    <w:rsid w:val="000A2449"/>
    <w:rsid w:val="000A2B9F"/>
    <w:rsid w:val="000A350F"/>
    <w:rsid w:val="000A48A4"/>
    <w:rsid w:val="000A510B"/>
    <w:rsid w:val="000A5904"/>
    <w:rsid w:val="000A7D47"/>
    <w:rsid w:val="000B04C9"/>
    <w:rsid w:val="000B05CF"/>
    <w:rsid w:val="000B0C12"/>
    <w:rsid w:val="000B1E61"/>
    <w:rsid w:val="000B3820"/>
    <w:rsid w:val="000B3858"/>
    <w:rsid w:val="000B4944"/>
    <w:rsid w:val="000B4ED6"/>
    <w:rsid w:val="000B590A"/>
    <w:rsid w:val="000B6866"/>
    <w:rsid w:val="000B71E6"/>
    <w:rsid w:val="000C12F2"/>
    <w:rsid w:val="000C2FF3"/>
    <w:rsid w:val="000C54B7"/>
    <w:rsid w:val="000C6A0E"/>
    <w:rsid w:val="000D343F"/>
    <w:rsid w:val="000D552B"/>
    <w:rsid w:val="000D6E2E"/>
    <w:rsid w:val="000D74E4"/>
    <w:rsid w:val="000E3B8B"/>
    <w:rsid w:val="000E4BC7"/>
    <w:rsid w:val="000E6BE5"/>
    <w:rsid w:val="000F1558"/>
    <w:rsid w:val="000F1731"/>
    <w:rsid w:val="000F5535"/>
    <w:rsid w:val="0010050E"/>
    <w:rsid w:val="00100F3A"/>
    <w:rsid w:val="00103C18"/>
    <w:rsid w:val="001067F9"/>
    <w:rsid w:val="00107524"/>
    <w:rsid w:val="00110237"/>
    <w:rsid w:val="001116FA"/>
    <w:rsid w:val="00113F8D"/>
    <w:rsid w:val="00115C31"/>
    <w:rsid w:val="00116779"/>
    <w:rsid w:val="00120608"/>
    <w:rsid w:val="001270D1"/>
    <w:rsid w:val="00127807"/>
    <w:rsid w:val="001306D2"/>
    <w:rsid w:val="0013449B"/>
    <w:rsid w:val="00135205"/>
    <w:rsid w:val="00135D4C"/>
    <w:rsid w:val="00136B42"/>
    <w:rsid w:val="001403D9"/>
    <w:rsid w:val="0014052A"/>
    <w:rsid w:val="00140731"/>
    <w:rsid w:val="001408CF"/>
    <w:rsid w:val="0014130A"/>
    <w:rsid w:val="00144E2E"/>
    <w:rsid w:val="00152042"/>
    <w:rsid w:val="00152690"/>
    <w:rsid w:val="0015416F"/>
    <w:rsid w:val="00155134"/>
    <w:rsid w:val="001621A2"/>
    <w:rsid w:val="001624FB"/>
    <w:rsid w:val="00163657"/>
    <w:rsid w:val="00163ECD"/>
    <w:rsid w:val="00164B1C"/>
    <w:rsid w:val="001659D5"/>
    <w:rsid w:val="001665E2"/>
    <w:rsid w:val="00173657"/>
    <w:rsid w:val="00175173"/>
    <w:rsid w:val="001768DB"/>
    <w:rsid w:val="001800D0"/>
    <w:rsid w:val="00183A7B"/>
    <w:rsid w:val="0018614D"/>
    <w:rsid w:val="001876C6"/>
    <w:rsid w:val="00187DB0"/>
    <w:rsid w:val="00192F46"/>
    <w:rsid w:val="0019318A"/>
    <w:rsid w:val="00194AB7"/>
    <w:rsid w:val="00195A7E"/>
    <w:rsid w:val="001A205D"/>
    <w:rsid w:val="001A241A"/>
    <w:rsid w:val="001A4852"/>
    <w:rsid w:val="001A6027"/>
    <w:rsid w:val="001B05B6"/>
    <w:rsid w:val="001B25E6"/>
    <w:rsid w:val="001B7899"/>
    <w:rsid w:val="001B7D10"/>
    <w:rsid w:val="001B7FEE"/>
    <w:rsid w:val="001C147D"/>
    <w:rsid w:val="001C2C1F"/>
    <w:rsid w:val="001C32D0"/>
    <w:rsid w:val="001C3B5D"/>
    <w:rsid w:val="001D05B6"/>
    <w:rsid w:val="001D137E"/>
    <w:rsid w:val="001D1E25"/>
    <w:rsid w:val="001D246D"/>
    <w:rsid w:val="001D6922"/>
    <w:rsid w:val="001D7807"/>
    <w:rsid w:val="001E3244"/>
    <w:rsid w:val="001E3F8F"/>
    <w:rsid w:val="001E4F55"/>
    <w:rsid w:val="001E5F92"/>
    <w:rsid w:val="001E6580"/>
    <w:rsid w:val="001E678C"/>
    <w:rsid w:val="001F3C76"/>
    <w:rsid w:val="001F484D"/>
    <w:rsid w:val="001F5CC0"/>
    <w:rsid w:val="001F696C"/>
    <w:rsid w:val="001F7B04"/>
    <w:rsid w:val="00200B70"/>
    <w:rsid w:val="00200CAB"/>
    <w:rsid w:val="00202836"/>
    <w:rsid w:val="0020526D"/>
    <w:rsid w:val="00215346"/>
    <w:rsid w:val="00216143"/>
    <w:rsid w:val="00220202"/>
    <w:rsid w:val="00223088"/>
    <w:rsid w:val="00224126"/>
    <w:rsid w:val="002255F6"/>
    <w:rsid w:val="00226958"/>
    <w:rsid w:val="002336BD"/>
    <w:rsid w:val="00235E21"/>
    <w:rsid w:val="002403D9"/>
    <w:rsid w:val="00240796"/>
    <w:rsid w:val="00240869"/>
    <w:rsid w:val="00242E99"/>
    <w:rsid w:val="00243FA5"/>
    <w:rsid w:val="00245F82"/>
    <w:rsid w:val="00246C4E"/>
    <w:rsid w:val="00247E5E"/>
    <w:rsid w:val="002506CB"/>
    <w:rsid w:val="00254D2F"/>
    <w:rsid w:val="00255078"/>
    <w:rsid w:val="00255BE0"/>
    <w:rsid w:val="00255DFB"/>
    <w:rsid w:val="0025678D"/>
    <w:rsid w:val="00260003"/>
    <w:rsid w:val="00261DF4"/>
    <w:rsid w:val="002627EB"/>
    <w:rsid w:val="00265445"/>
    <w:rsid w:val="002660EB"/>
    <w:rsid w:val="00266FC2"/>
    <w:rsid w:val="00270F12"/>
    <w:rsid w:val="002711AB"/>
    <w:rsid w:val="0027365C"/>
    <w:rsid w:val="00275DD0"/>
    <w:rsid w:val="002801F1"/>
    <w:rsid w:val="00281F79"/>
    <w:rsid w:val="00283612"/>
    <w:rsid w:val="00284400"/>
    <w:rsid w:val="00285864"/>
    <w:rsid w:val="0028662F"/>
    <w:rsid w:val="0028664D"/>
    <w:rsid w:val="002904A3"/>
    <w:rsid w:val="00291C3C"/>
    <w:rsid w:val="00291F04"/>
    <w:rsid w:val="00293A67"/>
    <w:rsid w:val="00294D65"/>
    <w:rsid w:val="002960EF"/>
    <w:rsid w:val="002A167E"/>
    <w:rsid w:val="002A18A4"/>
    <w:rsid w:val="002A42BA"/>
    <w:rsid w:val="002A5F24"/>
    <w:rsid w:val="002B151E"/>
    <w:rsid w:val="002B2D72"/>
    <w:rsid w:val="002B33AF"/>
    <w:rsid w:val="002B3FFF"/>
    <w:rsid w:val="002B45CD"/>
    <w:rsid w:val="002C0D81"/>
    <w:rsid w:val="002C63E9"/>
    <w:rsid w:val="002D06C5"/>
    <w:rsid w:val="002D3F38"/>
    <w:rsid w:val="002D4B92"/>
    <w:rsid w:val="002D6A0C"/>
    <w:rsid w:val="002E23CC"/>
    <w:rsid w:val="002E4239"/>
    <w:rsid w:val="002E4789"/>
    <w:rsid w:val="002F179F"/>
    <w:rsid w:val="002F1B1D"/>
    <w:rsid w:val="002F26EE"/>
    <w:rsid w:val="002F3218"/>
    <w:rsid w:val="002F716D"/>
    <w:rsid w:val="00300A4E"/>
    <w:rsid w:val="00302705"/>
    <w:rsid w:val="003108E4"/>
    <w:rsid w:val="00313042"/>
    <w:rsid w:val="003132CB"/>
    <w:rsid w:val="00313BE8"/>
    <w:rsid w:val="003156AA"/>
    <w:rsid w:val="003219E0"/>
    <w:rsid w:val="003227F5"/>
    <w:rsid w:val="0032751C"/>
    <w:rsid w:val="00330F83"/>
    <w:rsid w:val="00332D00"/>
    <w:rsid w:val="00333444"/>
    <w:rsid w:val="0033378A"/>
    <w:rsid w:val="0033531B"/>
    <w:rsid w:val="00337108"/>
    <w:rsid w:val="003401D2"/>
    <w:rsid w:val="00340993"/>
    <w:rsid w:val="00344AEA"/>
    <w:rsid w:val="003467D6"/>
    <w:rsid w:val="00347946"/>
    <w:rsid w:val="0035029D"/>
    <w:rsid w:val="00352D02"/>
    <w:rsid w:val="00353F17"/>
    <w:rsid w:val="0035439F"/>
    <w:rsid w:val="0035766D"/>
    <w:rsid w:val="00362B1D"/>
    <w:rsid w:val="0036616F"/>
    <w:rsid w:val="00366B0C"/>
    <w:rsid w:val="00373BE4"/>
    <w:rsid w:val="003747EF"/>
    <w:rsid w:val="00381AC4"/>
    <w:rsid w:val="00381DFA"/>
    <w:rsid w:val="00384E7C"/>
    <w:rsid w:val="0038549D"/>
    <w:rsid w:val="003868FA"/>
    <w:rsid w:val="00387256"/>
    <w:rsid w:val="003900A4"/>
    <w:rsid w:val="00392ADA"/>
    <w:rsid w:val="00394220"/>
    <w:rsid w:val="00395562"/>
    <w:rsid w:val="00395780"/>
    <w:rsid w:val="003962C8"/>
    <w:rsid w:val="00397DE8"/>
    <w:rsid w:val="003A1D44"/>
    <w:rsid w:val="003A2776"/>
    <w:rsid w:val="003A278D"/>
    <w:rsid w:val="003A3331"/>
    <w:rsid w:val="003A4F9D"/>
    <w:rsid w:val="003A677A"/>
    <w:rsid w:val="003B07D3"/>
    <w:rsid w:val="003B0989"/>
    <w:rsid w:val="003B0A6F"/>
    <w:rsid w:val="003B15DD"/>
    <w:rsid w:val="003B1B1B"/>
    <w:rsid w:val="003B27C2"/>
    <w:rsid w:val="003B3224"/>
    <w:rsid w:val="003C086F"/>
    <w:rsid w:val="003C0DB4"/>
    <w:rsid w:val="003C5504"/>
    <w:rsid w:val="003C7A32"/>
    <w:rsid w:val="003C7E2A"/>
    <w:rsid w:val="003D2EFA"/>
    <w:rsid w:val="003D7B1A"/>
    <w:rsid w:val="003E1BA3"/>
    <w:rsid w:val="003E212D"/>
    <w:rsid w:val="003E3FB7"/>
    <w:rsid w:val="003E4A0E"/>
    <w:rsid w:val="003E6FA4"/>
    <w:rsid w:val="003E74E6"/>
    <w:rsid w:val="003F0A9A"/>
    <w:rsid w:val="003F196B"/>
    <w:rsid w:val="003F390B"/>
    <w:rsid w:val="003F6801"/>
    <w:rsid w:val="00400CFF"/>
    <w:rsid w:val="00402FD0"/>
    <w:rsid w:val="00404FBF"/>
    <w:rsid w:val="00406EED"/>
    <w:rsid w:val="004106D0"/>
    <w:rsid w:val="00411F3F"/>
    <w:rsid w:val="00412CDC"/>
    <w:rsid w:val="00415360"/>
    <w:rsid w:val="004178B6"/>
    <w:rsid w:val="004235D4"/>
    <w:rsid w:val="00425EAF"/>
    <w:rsid w:val="00431C09"/>
    <w:rsid w:val="00434BB1"/>
    <w:rsid w:val="0043543B"/>
    <w:rsid w:val="00436823"/>
    <w:rsid w:val="00437411"/>
    <w:rsid w:val="00437568"/>
    <w:rsid w:val="00442131"/>
    <w:rsid w:val="00443477"/>
    <w:rsid w:val="0044444C"/>
    <w:rsid w:val="00444FA9"/>
    <w:rsid w:val="00445939"/>
    <w:rsid w:val="00446BEF"/>
    <w:rsid w:val="00447475"/>
    <w:rsid w:val="00447C8D"/>
    <w:rsid w:val="004510FF"/>
    <w:rsid w:val="004511D0"/>
    <w:rsid w:val="004532B9"/>
    <w:rsid w:val="00457B03"/>
    <w:rsid w:val="00457FCE"/>
    <w:rsid w:val="004604E7"/>
    <w:rsid w:val="00461B3C"/>
    <w:rsid w:val="00462217"/>
    <w:rsid w:val="00465B8B"/>
    <w:rsid w:val="00466DAB"/>
    <w:rsid w:val="00470157"/>
    <w:rsid w:val="0047115F"/>
    <w:rsid w:val="00472099"/>
    <w:rsid w:val="00474BB1"/>
    <w:rsid w:val="00475FA1"/>
    <w:rsid w:val="00477512"/>
    <w:rsid w:val="004777FE"/>
    <w:rsid w:val="00480803"/>
    <w:rsid w:val="00482EC8"/>
    <w:rsid w:val="00484611"/>
    <w:rsid w:val="00485082"/>
    <w:rsid w:val="004853DE"/>
    <w:rsid w:val="00486FD4"/>
    <w:rsid w:val="00490718"/>
    <w:rsid w:val="004917C5"/>
    <w:rsid w:val="00493109"/>
    <w:rsid w:val="00495546"/>
    <w:rsid w:val="004A13C9"/>
    <w:rsid w:val="004A7881"/>
    <w:rsid w:val="004A7D77"/>
    <w:rsid w:val="004B18BB"/>
    <w:rsid w:val="004B2EAF"/>
    <w:rsid w:val="004B4B96"/>
    <w:rsid w:val="004B4D1C"/>
    <w:rsid w:val="004C0040"/>
    <w:rsid w:val="004C0915"/>
    <w:rsid w:val="004C09E3"/>
    <w:rsid w:val="004C34CB"/>
    <w:rsid w:val="004C416F"/>
    <w:rsid w:val="004C67B8"/>
    <w:rsid w:val="004C6DEC"/>
    <w:rsid w:val="004C7409"/>
    <w:rsid w:val="004C7AA4"/>
    <w:rsid w:val="004D3813"/>
    <w:rsid w:val="004D491E"/>
    <w:rsid w:val="004D6012"/>
    <w:rsid w:val="004D73C1"/>
    <w:rsid w:val="004D7C99"/>
    <w:rsid w:val="004E0788"/>
    <w:rsid w:val="004E1248"/>
    <w:rsid w:val="004E1466"/>
    <w:rsid w:val="004E3C52"/>
    <w:rsid w:val="004E3F7D"/>
    <w:rsid w:val="004F1A2D"/>
    <w:rsid w:val="004F3637"/>
    <w:rsid w:val="004F3D91"/>
    <w:rsid w:val="004F45AD"/>
    <w:rsid w:val="004F6FDF"/>
    <w:rsid w:val="00500C07"/>
    <w:rsid w:val="00501248"/>
    <w:rsid w:val="00505E47"/>
    <w:rsid w:val="005078F8"/>
    <w:rsid w:val="005107E5"/>
    <w:rsid w:val="0051685A"/>
    <w:rsid w:val="00517408"/>
    <w:rsid w:val="00517F13"/>
    <w:rsid w:val="00521965"/>
    <w:rsid w:val="0052270D"/>
    <w:rsid w:val="00526887"/>
    <w:rsid w:val="00535DBB"/>
    <w:rsid w:val="00536ADE"/>
    <w:rsid w:val="0053723D"/>
    <w:rsid w:val="005424A2"/>
    <w:rsid w:val="00542FE4"/>
    <w:rsid w:val="005454AE"/>
    <w:rsid w:val="0054591C"/>
    <w:rsid w:val="00545ED1"/>
    <w:rsid w:val="00546655"/>
    <w:rsid w:val="00546DAD"/>
    <w:rsid w:val="00550A11"/>
    <w:rsid w:val="005546EF"/>
    <w:rsid w:val="00556604"/>
    <w:rsid w:val="00561D57"/>
    <w:rsid w:val="0056213A"/>
    <w:rsid w:val="00563D86"/>
    <w:rsid w:val="0056444B"/>
    <w:rsid w:val="00564E4D"/>
    <w:rsid w:val="00565F1D"/>
    <w:rsid w:val="00566EDB"/>
    <w:rsid w:val="00570A31"/>
    <w:rsid w:val="00571F5B"/>
    <w:rsid w:val="00573324"/>
    <w:rsid w:val="00573FD9"/>
    <w:rsid w:val="00574632"/>
    <w:rsid w:val="00576490"/>
    <w:rsid w:val="00576650"/>
    <w:rsid w:val="005769D0"/>
    <w:rsid w:val="00580047"/>
    <w:rsid w:val="00584B6B"/>
    <w:rsid w:val="00590EB2"/>
    <w:rsid w:val="005929B4"/>
    <w:rsid w:val="00592B0E"/>
    <w:rsid w:val="00595828"/>
    <w:rsid w:val="005A1AD2"/>
    <w:rsid w:val="005A23DB"/>
    <w:rsid w:val="005A4D27"/>
    <w:rsid w:val="005B313D"/>
    <w:rsid w:val="005B71FD"/>
    <w:rsid w:val="005B7ACE"/>
    <w:rsid w:val="005C428F"/>
    <w:rsid w:val="005C42A1"/>
    <w:rsid w:val="005C46BA"/>
    <w:rsid w:val="005C54C9"/>
    <w:rsid w:val="005C58B1"/>
    <w:rsid w:val="005C6577"/>
    <w:rsid w:val="005C66B8"/>
    <w:rsid w:val="005D17F3"/>
    <w:rsid w:val="005D2474"/>
    <w:rsid w:val="005D4924"/>
    <w:rsid w:val="005D4A60"/>
    <w:rsid w:val="005D4A63"/>
    <w:rsid w:val="005E29C2"/>
    <w:rsid w:val="005E3DC2"/>
    <w:rsid w:val="005E7FAF"/>
    <w:rsid w:val="005F2D82"/>
    <w:rsid w:val="005F62AB"/>
    <w:rsid w:val="005F6380"/>
    <w:rsid w:val="005F74E6"/>
    <w:rsid w:val="00603C85"/>
    <w:rsid w:val="00604316"/>
    <w:rsid w:val="00604D89"/>
    <w:rsid w:val="00611BCF"/>
    <w:rsid w:val="00613A1E"/>
    <w:rsid w:val="00616BFF"/>
    <w:rsid w:val="00617257"/>
    <w:rsid w:val="00622B84"/>
    <w:rsid w:val="00626279"/>
    <w:rsid w:val="00631CC0"/>
    <w:rsid w:val="00632243"/>
    <w:rsid w:val="0063493F"/>
    <w:rsid w:val="00635ADF"/>
    <w:rsid w:val="00635C80"/>
    <w:rsid w:val="00636A8F"/>
    <w:rsid w:val="00636F3C"/>
    <w:rsid w:val="006410AB"/>
    <w:rsid w:val="006423C1"/>
    <w:rsid w:val="00645221"/>
    <w:rsid w:val="00645303"/>
    <w:rsid w:val="006466F5"/>
    <w:rsid w:val="006474D0"/>
    <w:rsid w:val="00651EA7"/>
    <w:rsid w:val="00652454"/>
    <w:rsid w:val="00654B5B"/>
    <w:rsid w:val="00657AD6"/>
    <w:rsid w:val="00660819"/>
    <w:rsid w:val="00663246"/>
    <w:rsid w:val="00663DF0"/>
    <w:rsid w:val="00664086"/>
    <w:rsid w:val="006644F6"/>
    <w:rsid w:val="00665130"/>
    <w:rsid w:val="00670493"/>
    <w:rsid w:val="0067164A"/>
    <w:rsid w:val="0067616E"/>
    <w:rsid w:val="006806DE"/>
    <w:rsid w:val="0068127F"/>
    <w:rsid w:val="006847A2"/>
    <w:rsid w:val="0069043B"/>
    <w:rsid w:val="00690C42"/>
    <w:rsid w:val="006912B0"/>
    <w:rsid w:val="00692A11"/>
    <w:rsid w:val="00696F7E"/>
    <w:rsid w:val="006A0C76"/>
    <w:rsid w:val="006A31B3"/>
    <w:rsid w:val="006A57DF"/>
    <w:rsid w:val="006B1AAF"/>
    <w:rsid w:val="006B2A46"/>
    <w:rsid w:val="006B6BDA"/>
    <w:rsid w:val="006B7604"/>
    <w:rsid w:val="006B7DD3"/>
    <w:rsid w:val="006B7DFB"/>
    <w:rsid w:val="006C2F70"/>
    <w:rsid w:val="006C67D1"/>
    <w:rsid w:val="006D02C7"/>
    <w:rsid w:val="006D0F3B"/>
    <w:rsid w:val="006D402F"/>
    <w:rsid w:val="006D4C68"/>
    <w:rsid w:val="006D5F37"/>
    <w:rsid w:val="006D7D2F"/>
    <w:rsid w:val="006E0C2B"/>
    <w:rsid w:val="006E0CAD"/>
    <w:rsid w:val="006E1F8F"/>
    <w:rsid w:val="006E1FC1"/>
    <w:rsid w:val="006E49A2"/>
    <w:rsid w:val="006E58AA"/>
    <w:rsid w:val="006F0698"/>
    <w:rsid w:val="006F1A4D"/>
    <w:rsid w:val="006F1F68"/>
    <w:rsid w:val="006F4C56"/>
    <w:rsid w:val="006F4D9E"/>
    <w:rsid w:val="006F57E9"/>
    <w:rsid w:val="006F6646"/>
    <w:rsid w:val="007001B6"/>
    <w:rsid w:val="00701BEA"/>
    <w:rsid w:val="00701EF1"/>
    <w:rsid w:val="0070256F"/>
    <w:rsid w:val="007031C4"/>
    <w:rsid w:val="00703C7B"/>
    <w:rsid w:val="00712470"/>
    <w:rsid w:val="00713E8D"/>
    <w:rsid w:val="007157A3"/>
    <w:rsid w:val="00720F81"/>
    <w:rsid w:val="0072372A"/>
    <w:rsid w:val="0072403C"/>
    <w:rsid w:val="007241FD"/>
    <w:rsid w:val="00725618"/>
    <w:rsid w:val="00727602"/>
    <w:rsid w:val="007277D7"/>
    <w:rsid w:val="00727FF2"/>
    <w:rsid w:val="007332E3"/>
    <w:rsid w:val="007342A4"/>
    <w:rsid w:val="00740DC3"/>
    <w:rsid w:val="00743373"/>
    <w:rsid w:val="00743745"/>
    <w:rsid w:val="00745D3A"/>
    <w:rsid w:val="007461EA"/>
    <w:rsid w:val="00747BB1"/>
    <w:rsid w:val="00750066"/>
    <w:rsid w:val="00750FD1"/>
    <w:rsid w:val="00754C1B"/>
    <w:rsid w:val="00756649"/>
    <w:rsid w:val="00756C16"/>
    <w:rsid w:val="00757DD2"/>
    <w:rsid w:val="007614F8"/>
    <w:rsid w:val="00761913"/>
    <w:rsid w:val="00765601"/>
    <w:rsid w:val="0076560E"/>
    <w:rsid w:val="007811A2"/>
    <w:rsid w:val="0078294B"/>
    <w:rsid w:val="00793971"/>
    <w:rsid w:val="0079488A"/>
    <w:rsid w:val="007953B5"/>
    <w:rsid w:val="0079758B"/>
    <w:rsid w:val="007A0C4C"/>
    <w:rsid w:val="007A0DA6"/>
    <w:rsid w:val="007A1032"/>
    <w:rsid w:val="007A10DF"/>
    <w:rsid w:val="007A1DD1"/>
    <w:rsid w:val="007A45EA"/>
    <w:rsid w:val="007A4E00"/>
    <w:rsid w:val="007A5220"/>
    <w:rsid w:val="007A559B"/>
    <w:rsid w:val="007A72E9"/>
    <w:rsid w:val="007B0CD9"/>
    <w:rsid w:val="007C4E6C"/>
    <w:rsid w:val="007C5CAB"/>
    <w:rsid w:val="007C5E97"/>
    <w:rsid w:val="007C6919"/>
    <w:rsid w:val="007D0CC3"/>
    <w:rsid w:val="007D0F45"/>
    <w:rsid w:val="007D1E76"/>
    <w:rsid w:val="007D7979"/>
    <w:rsid w:val="007E5925"/>
    <w:rsid w:val="007F3532"/>
    <w:rsid w:val="007F5ABD"/>
    <w:rsid w:val="007F6ED0"/>
    <w:rsid w:val="00800290"/>
    <w:rsid w:val="00800F3C"/>
    <w:rsid w:val="00802211"/>
    <w:rsid w:val="00807F59"/>
    <w:rsid w:val="00810418"/>
    <w:rsid w:val="008152A0"/>
    <w:rsid w:val="008163B9"/>
    <w:rsid w:val="0082095D"/>
    <w:rsid w:val="008213F8"/>
    <w:rsid w:val="00821628"/>
    <w:rsid w:val="008221C0"/>
    <w:rsid w:val="008231CF"/>
    <w:rsid w:val="0082519E"/>
    <w:rsid w:val="00826C3B"/>
    <w:rsid w:val="00827CC3"/>
    <w:rsid w:val="00830862"/>
    <w:rsid w:val="008313D4"/>
    <w:rsid w:val="00831DF7"/>
    <w:rsid w:val="008321DB"/>
    <w:rsid w:val="008323FF"/>
    <w:rsid w:val="008343B0"/>
    <w:rsid w:val="0083643B"/>
    <w:rsid w:val="00836535"/>
    <w:rsid w:val="00836BC3"/>
    <w:rsid w:val="00837230"/>
    <w:rsid w:val="00841A51"/>
    <w:rsid w:val="008446E3"/>
    <w:rsid w:val="00845D31"/>
    <w:rsid w:val="00850C57"/>
    <w:rsid w:val="008564D7"/>
    <w:rsid w:val="00857B22"/>
    <w:rsid w:val="00860BD4"/>
    <w:rsid w:val="00865B5D"/>
    <w:rsid w:val="00865CCC"/>
    <w:rsid w:val="008665E7"/>
    <w:rsid w:val="00866DE4"/>
    <w:rsid w:val="00871C3F"/>
    <w:rsid w:val="00872BE9"/>
    <w:rsid w:val="00872E37"/>
    <w:rsid w:val="00874482"/>
    <w:rsid w:val="00874557"/>
    <w:rsid w:val="00874DAF"/>
    <w:rsid w:val="00874DD2"/>
    <w:rsid w:val="0088115E"/>
    <w:rsid w:val="0088410D"/>
    <w:rsid w:val="00884BAA"/>
    <w:rsid w:val="00886432"/>
    <w:rsid w:val="00886A8E"/>
    <w:rsid w:val="00891F8B"/>
    <w:rsid w:val="00895108"/>
    <w:rsid w:val="008959C4"/>
    <w:rsid w:val="0089664D"/>
    <w:rsid w:val="008A00AA"/>
    <w:rsid w:val="008A3227"/>
    <w:rsid w:val="008A3868"/>
    <w:rsid w:val="008A4B1B"/>
    <w:rsid w:val="008A4E79"/>
    <w:rsid w:val="008A7850"/>
    <w:rsid w:val="008B2D25"/>
    <w:rsid w:val="008B3CFF"/>
    <w:rsid w:val="008C0B8B"/>
    <w:rsid w:val="008C5A93"/>
    <w:rsid w:val="008C7408"/>
    <w:rsid w:val="008D11D8"/>
    <w:rsid w:val="008D2847"/>
    <w:rsid w:val="008D6B7A"/>
    <w:rsid w:val="008D79BD"/>
    <w:rsid w:val="008D7B98"/>
    <w:rsid w:val="008E0641"/>
    <w:rsid w:val="008E0B06"/>
    <w:rsid w:val="008E1665"/>
    <w:rsid w:val="008E212A"/>
    <w:rsid w:val="008E2AE8"/>
    <w:rsid w:val="008E4809"/>
    <w:rsid w:val="008F2F98"/>
    <w:rsid w:val="008F34CD"/>
    <w:rsid w:val="008F3E2F"/>
    <w:rsid w:val="008F41BF"/>
    <w:rsid w:val="008F4484"/>
    <w:rsid w:val="008F4DFD"/>
    <w:rsid w:val="008F5B48"/>
    <w:rsid w:val="008F68E7"/>
    <w:rsid w:val="008F7A93"/>
    <w:rsid w:val="00901019"/>
    <w:rsid w:val="009011BE"/>
    <w:rsid w:val="00901F53"/>
    <w:rsid w:val="00903F85"/>
    <w:rsid w:val="00904843"/>
    <w:rsid w:val="0090559B"/>
    <w:rsid w:val="00910B33"/>
    <w:rsid w:val="00911297"/>
    <w:rsid w:val="0091395C"/>
    <w:rsid w:val="00917D7F"/>
    <w:rsid w:val="0092018F"/>
    <w:rsid w:val="00920221"/>
    <w:rsid w:val="00921BE7"/>
    <w:rsid w:val="00921CC8"/>
    <w:rsid w:val="00922856"/>
    <w:rsid w:val="00924ACD"/>
    <w:rsid w:val="00926080"/>
    <w:rsid w:val="009260D7"/>
    <w:rsid w:val="00926327"/>
    <w:rsid w:val="00926D9C"/>
    <w:rsid w:val="00931B12"/>
    <w:rsid w:val="009328C8"/>
    <w:rsid w:val="009333F6"/>
    <w:rsid w:val="00936FC2"/>
    <w:rsid w:val="0093710F"/>
    <w:rsid w:val="00940B5C"/>
    <w:rsid w:val="00942144"/>
    <w:rsid w:val="0094247F"/>
    <w:rsid w:val="00943201"/>
    <w:rsid w:val="00944F93"/>
    <w:rsid w:val="00945156"/>
    <w:rsid w:val="009453D4"/>
    <w:rsid w:val="00946AFA"/>
    <w:rsid w:val="0095124E"/>
    <w:rsid w:val="0095130C"/>
    <w:rsid w:val="00953BB7"/>
    <w:rsid w:val="00957C27"/>
    <w:rsid w:val="0096330F"/>
    <w:rsid w:val="00963915"/>
    <w:rsid w:val="00964D35"/>
    <w:rsid w:val="0096539E"/>
    <w:rsid w:val="0097069C"/>
    <w:rsid w:val="00973FDC"/>
    <w:rsid w:val="00974B19"/>
    <w:rsid w:val="00975972"/>
    <w:rsid w:val="009763BB"/>
    <w:rsid w:val="00977016"/>
    <w:rsid w:val="00980126"/>
    <w:rsid w:val="0098344B"/>
    <w:rsid w:val="00984612"/>
    <w:rsid w:val="00990458"/>
    <w:rsid w:val="00990CE7"/>
    <w:rsid w:val="00993FCC"/>
    <w:rsid w:val="009959E8"/>
    <w:rsid w:val="0099683D"/>
    <w:rsid w:val="009A06D7"/>
    <w:rsid w:val="009A320C"/>
    <w:rsid w:val="009A4AB5"/>
    <w:rsid w:val="009A6BF9"/>
    <w:rsid w:val="009A6EC8"/>
    <w:rsid w:val="009B0C92"/>
    <w:rsid w:val="009B3295"/>
    <w:rsid w:val="009B561B"/>
    <w:rsid w:val="009C14E8"/>
    <w:rsid w:val="009C2D68"/>
    <w:rsid w:val="009C3CBB"/>
    <w:rsid w:val="009C41B6"/>
    <w:rsid w:val="009C64BB"/>
    <w:rsid w:val="009C6DCD"/>
    <w:rsid w:val="009D0F61"/>
    <w:rsid w:val="009D1B20"/>
    <w:rsid w:val="009D2734"/>
    <w:rsid w:val="009D46C6"/>
    <w:rsid w:val="009D5ADB"/>
    <w:rsid w:val="009D5D20"/>
    <w:rsid w:val="009D5DB0"/>
    <w:rsid w:val="009D645B"/>
    <w:rsid w:val="009D65E8"/>
    <w:rsid w:val="009D7969"/>
    <w:rsid w:val="009D7A2C"/>
    <w:rsid w:val="009E2600"/>
    <w:rsid w:val="009E3602"/>
    <w:rsid w:val="009E5851"/>
    <w:rsid w:val="009E64A9"/>
    <w:rsid w:val="009F34BE"/>
    <w:rsid w:val="009F3A2A"/>
    <w:rsid w:val="009F4D29"/>
    <w:rsid w:val="009F5D11"/>
    <w:rsid w:val="009F6D36"/>
    <w:rsid w:val="00A00F65"/>
    <w:rsid w:val="00A012A9"/>
    <w:rsid w:val="00A018D6"/>
    <w:rsid w:val="00A025A7"/>
    <w:rsid w:val="00A03254"/>
    <w:rsid w:val="00A0488B"/>
    <w:rsid w:val="00A06F58"/>
    <w:rsid w:val="00A07986"/>
    <w:rsid w:val="00A11F67"/>
    <w:rsid w:val="00A12757"/>
    <w:rsid w:val="00A127FD"/>
    <w:rsid w:val="00A14C98"/>
    <w:rsid w:val="00A14E33"/>
    <w:rsid w:val="00A15AA7"/>
    <w:rsid w:val="00A16D57"/>
    <w:rsid w:val="00A20939"/>
    <w:rsid w:val="00A2269B"/>
    <w:rsid w:val="00A22DB6"/>
    <w:rsid w:val="00A22DDD"/>
    <w:rsid w:val="00A23C3F"/>
    <w:rsid w:val="00A256A8"/>
    <w:rsid w:val="00A25B6E"/>
    <w:rsid w:val="00A266ED"/>
    <w:rsid w:val="00A27450"/>
    <w:rsid w:val="00A322AC"/>
    <w:rsid w:val="00A405D1"/>
    <w:rsid w:val="00A41C3D"/>
    <w:rsid w:val="00A43C8C"/>
    <w:rsid w:val="00A43E36"/>
    <w:rsid w:val="00A4406C"/>
    <w:rsid w:val="00A44621"/>
    <w:rsid w:val="00A44DC0"/>
    <w:rsid w:val="00A451D1"/>
    <w:rsid w:val="00A4558E"/>
    <w:rsid w:val="00A45885"/>
    <w:rsid w:val="00A47783"/>
    <w:rsid w:val="00A5174F"/>
    <w:rsid w:val="00A51C2A"/>
    <w:rsid w:val="00A53899"/>
    <w:rsid w:val="00A53D6B"/>
    <w:rsid w:val="00A54236"/>
    <w:rsid w:val="00A55972"/>
    <w:rsid w:val="00A563EF"/>
    <w:rsid w:val="00A61331"/>
    <w:rsid w:val="00A614D0"/>
    <w:rsid w:val="00A623B5"/>
    <w:rsid w:val="00A75F5C"/>
    <w:rsid w:val="00A8102B"/>
    <w:rsid w:val="00A86427"/>
    <w:rsid w:val="00A87A07"/>
    <w:rsid w:val="00A922D6"/>
    <w:rsid w:val="00A94DB2"/>
    <w:rsid w:val="00A95CEC"/>
    <w:rsid w:val="00A979D0"/>
    <w:rsid w:val="00AA4B6D"/>
    <w:rsid w:val="00AB0A1A"/>
    <w:rsid w:val="00AB1FA3"/>
    <w:rsid w:val="00AB330C"/>
    <w:rsid w:val="00AB3C30"/>
    <w:rsid w:val="00AB42E1"/>
    <w:rsid w:val="00AB5A62"/>
    <w:rsid w:val="00AB664E"/>
    <w:rsid w:val="00AB774C"/>
    <w:rsid w:val="00AC2221"/>
    <w:rsid w:val="00AC2956"/>
    <w:rsid w:val="00AC696D"/>
    <w:rsid w:val="00AC7A5F"/>
    <w:rsid w:val="00AD7FF1"/>
    <w:rsid w:val="00AE081C"/>
    <w:rsid w:val="00AE1CF0"/>
    <w:rsid w:val="00AE1F9D"/>
    <w:rsid w:val="00AE38B9"/>
    <w:rsid w:val="00AE7C93"/>
    <w:rsid w:val="00AF0240"/>
    <w:rsid w:val="00AF163B"/>
    <w:rsid w:val="00AF2272"/>
    <w:rsid w:val="00AF36ED"/>
    <w:rsid w:val="00AF37CA"/>
    <w:rsid w:val="00AF3F87"/>
    <w:rsid w:val="00AF5216"/>
    <w:rsid w:val="00AF57B0"/>
    <w:rsid w:val="00B00E50"/>
    <w:rsid w:val="00B04EA2"/>
    <w:rsid w:val="00B05500"/>
    <w:rsid w:val="00B07F92"/>
    <w:rsid w:val="00B11511"/>
    <w:rsid w:val="00B116C9"/>
    <w:rsid w:val="00B14477"/>
    <w:rsid w:val="00B14866"/>
    <w:rsid w:val="00B1752C"/>
    <w:rsid w:val="00B1795A"/>
    <w:rsid w:val="00B2070A"/>
    <w:rsid w:val="00B20DBE"/>
    <w:rsid w:val="00B2223C"/>
    <w:rsid w:val="00B26B76"/>
    <w:rsid w:val="00B30B92"/>
    <w:rsid w:val="00B35778"/>
    <w:rsid w:val="00B43A76"/>
    <w:rsid w:val="00B4481B"/>
    <w:rsid w:val="00B51A48"/>
    <w:rsid w:val="00B54100"/>
    <w:rsid w:val="00B55C85"/>
    <w:rsid w:val="00B55E53"/>
    <w:rsid w:val="00B57655"/>
    <w:rsid w:val="00B57AA4"/>
    <w:rsid w:val="00B57E57"/>
    <w:rsid w:val="00B61295"/>
    <w:rsid w:val="00B62A4C"/>
    <w:rsid w:val="00B62B1F"/>
    <w:rsid w:val="00B6388E"/>
    <w:rsid w:val="00B66004"/>
    <w:rsid w:val="00B67293"/>
    <w:rsid w:val="00B6786C"/>
    <w:rsid w:val="00B67AF0"/>
    <w:rsid w:val="00B67B50"/>
    <w:rsid w:val="00B701D8"/>
    <w:rsid w:val="00B716C1"/>
    <w:rsid w:val="00B72886"/>
    <w:rsid w:val="00B76250"/>
    <w:rsid w:val="00B769FD"/>
    <w:rsid w:val="00B83B87"/>
    <w:rsid w:val="00B84B67"/>
    <w:rsid w:val="00B8757D"/>
    <w:rsid w:val="00B922E2"/>
    <w:rsid w:val="00B925E4"/>
    <w:rsid w:val="00B93C8F"/>
    <w:rsid w:val="00B94925"/>
    <w:rsid w:val="00B95F89"/>
    <w:rsid w:val="00B95FFD"/>
    <w:rsid w:val="00BA19E1"/>
    <w:rsid w:val="00BA448C"/>
    <w:rsid w:val="00BA5460"/>
    <w:rsid w:val="00BA660F"/>
    <w:rsid w:val="00BA7364"/>
    <w:rsid w:val="00BA73C2"/>
    <w:rsid w:val="00BB16B2"/>
    <w:rsid w:val="00BB2D6C"/>
    <w:rsid w:val="00BB4A60"/>
    <w:rsid w:val="00BB55D6"/>
    <w:rsid w:val="00BC3706"/>
    <w:rsid w:val="00BC547F"/>
    <w:rsid w:val="00BD1C08"/>
    <w:rsid w:val="00BD2961"/>
    <w:rsid w:val="00BD49A6"/>
    <w:rsid w:val="00BD4CF6"/>
    <w:rsid w:val="00BD4F2A"/>
    <w:rsid w:val="00BD6377"/>
    <w:rsid w:val="00BD735B"/>
    <w:rsid w:val="00BE2112"/>
    <w:rsid w:val="00BE58DA"/>
    <w:rsid w:val="00BE5FA5"/>
    <w:rsid w:val="00BF0C1A"/>
    <w:rsid w:val="00BF0C52"/>
    <w:rsid w:val="00BF526C"/>
    <w:rsid w:val="00BF56A5"/>
    <w:rsid w:val="00C0087A"/>
    <w:rsid w:val="00C00998"/>
    <w:rsid w:val="00C058C2"/>
    <w:rsid w:val="00C0592B"/>
    <w:rsid w:val="00C1170A"/>
    <w:rsid w:val="00C1351F"/>
    <w:rsid w:val="00C14024"/>
    <w:rsid w:val="00C1470C"/>
    <w:rsid w:val="00C157D2"/>
    <w:rsid w:val="00C209E0"/>
    <w:rsid w:val="00C20E0A"/>
    <w:rsid w:val="00C221A5"/>
    <w:rsid w:val="00C24237"/>
    <w:rsid w:val="00C27106"/>
    <w:rsid w:val="00C27F2B"/>
    <w:rsid w:val="00C30644"/>
    <w:rsid w:val="00C30D39"/>
    <w:rsid w:val="00C3295C"/>
    <w:rsid w:val="00C32A54"/>
    <w:rsid w:val="00C37F9C"/>
    <w:rsid w:val="00C44685"/>
    <w:rsid w:val="00C44F00"/>
    <w:rsid w:val="00C51226"/>
    <w:rsid w:val="00C51236"/>
    <w:rsid w:val="00C53CDF"/>
    <w:rsid w:val="00C5427B"/>
    <w:rsid w:val="00C55751"/>
    <w:rsid w:val="00C61B37"/>
    <w:rsid w:val="00C62469"/>
    <w:rsid w:val="00C62C31"/>
    <w:rsid w:val="00C62D88"/>
    <w:rsid w:val="00C644A8"/>
    <w:rsid w:val="00C663F4"/>
    <w:rsid w:val="00C726BA"/>
    <w:rsid w:val="00C84E52"/>
    <w:rsid w:val="00C86EF2"/>
    <w:rsid w:val="00C87629"/>
    <w:rsid w:val="00C915A3"/>
    <w:rsid w:val="00C972BD"/>
    <w:rsid w:val="00C97E4B"/>
    <w:rsid w:val="00CA0E11"/>
    <w:rsid w:val="00CA179F"/>
    <w:rsid w:val="00CA23A1"/>
    <w:rsid w:val="00CA670C"/>
    <w:rsid w:val="00CA7B98"/>
    <w:rsid w:val="00CA7E3D"/>
    <w:rsid w:val="00CB0392"/>
    <w:rsid w:val="00CB0937"/>
    <w:rsid w:val="00CB269B"/>
    <w:rsid w:val="00CB4F46"/>
    <w:rsid w:val="00CB53EB"/>
    <w:rsid w:val="00CC032F"/>
    <w:rsid w:val="00CC2DB4"/>
    <w:rsid w:val="00CC4636"/>
    <w:rsid w:val="00CC4A9B"/>
    <w:rsid w:val="00CC4FAE"/>
    <w:rsid w:val="00CD22BB"/>
    <w:rsid w:val="00CD2CB2"/>
    <w:rsid w:val="00CD3B55"/>
    <w:rsid w:val="00CD406A"/>
    <w:rsid w:val="00CD41D2"/>
    <w:rsid w:val="00CD48C3"/>
    <w:rsid w:val="00CD4B84"/>
    <w:rsid w:val="00CE2BF1"/>
    <w:rsid w:val="00CE3720"/>
    <w:rsid w:val="00CE3963"/>
    <w:rsid w:val="00CE403E"/>
    <w:rsid w:val="00CE68A4"/>
    <w:rsid w:val="00CF0D7F"/>
    <w:rsid w:val="00CF16F2"/>
    <w:rsid w:val="00CF3624"/>
    <w:rsid w:val="00CF5F84"/>
    <w:rsid w:val="00CF63FD"/>
    <w:rsid w:val="00CF7F82"/>
    <w:rsid w:val="00D01BE7"/>
    <w:rsid w:val="00D02FB5"/>
    <w:rsid w:val="00D05B56"/>
    <w:rsid w:val="00D05FE3"/>
    <w:rsid w:val="00D07772"/>
    <w:rsid w:val="00D10FA3"/>
    <w:rsid w:val="00D1459E"/>
    <w:rsid w:val="00D15150"/>
    <w:rsid w:val="00D20103"/>
    <w:rsid w:val="00D206D7"/>
    <w:rsid w:val="00D20D2E"/>
    <w:rsid w:val="00D227B5"/>
    <w:rsid w:val="00D24FD3"/>
    <w:rsid w:val="00D2776F"/>
    <w:rsid w:val="00D32F68"/>
    <w:rsid w:val="00D32FBA"/>
    <w:rsid w:val="00D36235"/>
    <w:rsid w:val="00D372D1"/>
    <w:rsid w:val="00D40583"/>
    <w:rsid w:val="00D40E14"/>
    <w:rsid w:val="00D443A8"/>
    <w:rsid w:val="00D44664"/>
    <w:rsid w:val="00D45215"/>
    <w:rsid w:val="00D46752"/>
    <w:rsid w:val="00D50428"/>
    <w:rsid w:val="00D528B3"/>
    <w:rsid w:val="00D53CE7"/>
    <w:rsid w:val="00D540AA"/>
    <w:rsid w:val="00D5637D"/>
    <w:rsid w:val="00D579DD"/>
    <w:rsid w:val="00D678C9"/>
    <w:rsid w:val="00D702E5"/>
    <w:rsid w:val="00D70889"/>
    <w:rsid w:val="00D72E3E"/>
    <w:rsid w:val="00D72F5F"/>
    <w:rsid w:val="00D81486"/>
    <w:rsid w:val="00D81C30"/>
    <w:rsid w:val="00D82709"/>
    <w:rsid w:val="00D827E4"/>
    <w:rsid w:val="00D828CB"/>
    <w:rsid w:val="00D86D75"/>
    <w:rsid w:val="00D871DD"/>
    <w:rsid w:val="00D90DBC"/>
    <w:rsid w:val="00D94B65"/>
    <w:rsid w:val="00D97C5D"/>
    <w:rsid w:val="00DA018D"/>
    <w:rsid w:val="00DA21F8"/>
    <w:rsid w:val="00DA23F4"/>
    <w:rsid w:val="00DB1F92"/>
    <w:rsid w:val="00DB5362"/>
    <w:rsid w:val="00DB750E"/>
    <w:rsid w:val="00DC0243"/>
    <w:rsid w:val="00DC1576"/>
    <w:rsid w:val="00DC3CC3"/>
    <w:rsid w:val="00DC50CE"/>
    <w:rsid w:val="00DD0972"/>
    <w:rsid w:val="00DD0BB7"/>
    <w:rsid w:val="00DD1B7B"/>
    <w:rsid w:val="00DD231B"/>
    <w:rsid w:val="00DD50CB"/>
    <w:rsid w:val="00DE0BD8"/>
    <w:rsid w:val="00DE1B9F"/>
    <w:rsid w:val="00DE2324"/>
    <w:rsid w:val="00DE3369"/>
    <w:rsid w:val="00DE746C"/>
    <w:rsid w:val="00DF1038"/>
    <w:rsid w:val="00DF135E"/>
    <w:rsid w:val="00DF184B"/>
    <w:rsid w:val="00DF281B"/>
    <w:rsid w:val="00DF2881"/>
    <w:rsid w:val="00DF4624"/>
    <w:rsid w:val="00DF6516"/>
    <w:rsid w:val="00DF66F4"/>
    <w:rsid w:val="00DF6A27"/>
    <w:rsid w:val="00E016DB"/>
    <w:rsid w:val="00E026C1"/>
    <w:rsid w:val="00E02816"/>
    <w:rsid w:val="00E04D84"/>
    <w:rsid w:val="00E055C3"/>
    <w:rsid w:val="00E07E67"/>
    <w:rsid w:val="00E14AA0"/>
    <w:rsid w:val="00E165A1"/>
    <w:rsid w:val="00E17304"/>
    <w:rsid w:val="00E173AE"/>
    <w:rsid w:val="00E20955"/>
    <w:rsid w:val="00E2355F"/>
    <w:rsid w:val="00E27A03"/>
    <w:rsid w:val="00E3137F"/>
    <w:rsid w:val="00E31DB9"/>
    <w:rsid w:val="00E32218"/>
    <w:rsid w:val="00E36C33"/>
    <w:rsid w:val="00E37087"/>
    <w:rsid w:val="00E40128"/>
    <w:rsid w:val="00E42657"/>
    <w:rsid w:val="00E4289E"/>
    <w:rsid w:val="00E43178"/>
    <w:rsid w:val="00E44195"/>
    <w:rsid w:val="00E456B5"/>
    <w:rsid w:val="00E465D4"/>
    <w:rsid w:val="00E5357A"/>
    <w:rsid w:val="00E53839"/>
    <w:rsid w:val="00E5511E"/>
    <w:rsid w:val="00E55CAD"/>
    <w:rsid w:val="00E60523"/>
    <w:rsid w:val="00E6054B"/>
    <w:rsid w:val="00E60BDC"/>
    <w:rsid w:val="00E63451"/>
    <w:rsid w:val="00E642F2"/>
    <w:rsid w:val="00E6572D"/>
    <w:rsid w:val="00E659B7"/>
    <w:rsid w:val="00E6746A"/>
    <w:rsid w:val="00E67E88"/>
    <w:rsid w:val="00E76D98"/>
    <w:rsid w:val="00E87414"/>
    <w:rsid w:val="00E87A02"/>
    <w:rsid w:val="00E9035B"/>
    <w:rsid w:val="00E90621"/>
    <w:rsid w:val="00E91E23"/>
    <w:rsid w:val="00E94DE3"/>
    <w:rsid w:val="00E95704"/>
    <w:rsid w:val="00E97491"/>
    <w:rsid w:val="00EA3E44"/>
    <w:rsid w:val="00EB103A"/>
    <w:rsid w:val="00EB1CF6"/>
    <w:rsid w:val="00EB3C30"/>
    <w:rsid w:val="00EB458B"/>
    <w:rsid w:val="00EB63A0"/>
    <w:rsid w:val="00EB7708"/>
    <w:rsid w:val="00EC08C5"/>
    <w:rsid w:val="00EC1055"/>
    <w:rsid w:val="00EC149A"/>
    <w:rsid w:val="00EC3388"/>
    <w:rsid w:val="00EC442B"/>
    <w:rsid w:val="00EC6EDF"/>
    <w:rsid w:val="00ED02CF"/>
    <w:rsid w:val="00ED2736"/>
    <w:rsid w:val="00ED2CEF"/>
    <w:rsid w:val="00ED35CF"/>
    <w:rsid w:val="00ED51C5"/>
    <w:rsid w:val="00ED79E3"/>
    <w:rsid w:val="00ED7F2F"/>
    <w:rsid w:val="00EE01E1"/>
    <w:rsid w:val="00EE0689"/>
    <w:rsid w:val="00EE23FD"/>
    <w:rsid w:val="00EE39A2"/>
    <w:rsid w:val="00EE3A3C"/>
    <w:rsid w:val="00EE5ED4"/>
    <w:rsid w:val="00EE77E3"/>
    <w:rsid w:val="00EF0DC7"/>
    <w:rsid w:val="00EF1164"/>
    <w:rsid w:val="00EF1A09"/>
    <w:rsid w:val="00EF617C"/>
    <w:rsid w:val="00EF717A"/>
    <w:rsid w:val="00EF7D3B"/>
    <w:rsid w:val="00F00422"/>
    <w:rsid w:val="00F00A22"/>
    <w:rsid w:val="00F01B37"/>
    <w:rsid w:val="00F02CC5"/>
    <w:rsid w:val="00F0407C"/>
    <w:rsid w:val="00F05D66"/>
    <w:rsid w:val="00F11256"/>
    <w:rsid w:val="00F1372D"/>
    <w:rsid w:val="00F14D94"/>
    <w:rsid w:val="00F1708D"/>
    <w:rsid w:val="00F17C43"/>
    <w:rsid w:val="00F17F36"/>
    <w:rsid w:val="00F2020C"/>
    <w:rsid w:val="00F26B86"/>
    <w:rsid w:val="00F27A6F"/>
    <w:rsid w:val="00F27B7F"/>
    <w:rsid w:val="00F31681"/>
    <w:rsid w:val="00F34273"/>
    <w:rsid w:val="00F37A58"/>
    <w:rsid w:val="00F37E1F"/>
    <w:rsid w:val="00F40D05"/>
    <w:rsid w:val="00F41596"/>
    <w:rsid w:val="00F42DA2"/>
    <w:rsid w:val="00F43642"/>
    <w:rsid w:val="00F444C9"/>
    <w:rsid w:val="00F47D89"/>
    <w:rsid w:val="00F51FE1"/>
    <w:rsid w:val="00F54CAC"/>
    <w:rsid w:val="00F644A7"/>
    <w:rsid w:val="00F65077"/>
    <w:rsid w:val="00F6768E"/>
    <w:rsid w:val="00F67BE7"/>
    <w:rsid w:val="00F705FB"/>
    <w:rsid w:val="00F7241F"/>
    <w:rsid w:val="00F75345"/>
    <w:rsid w:val="00F811E5"/>
    <w:rsid w:val="00F829CF"/>
    <w:rsid w:val="00F86D85"/>
    <w:rsid w:val="00F8743F"/>
    <w:rsid w:val="00F90E3B"/>
    <w:rsid w:val="00F920D6"/>
    <w:rsid w:val="00F9344A"/>
    <w:rsid w:val="00F95D3A"/>
    <w:rsid w:val="00F9642E"/>
    <w:rsid w:val="00F969B3"/>
    <w:rsid w:val="00F96ED4"/>
    <w:rsid w:val="00F977F3"/>
    <w:rsid w:val="00FA13E6"/>
    <w:rsid w:val="00FA206A"/>
    <w:rsid w:val="00FA2AF1"/>
    <w:rsid w:val="00FA390C"/>
    <w:rsid w:val="00FA57C8"/>
    <w:rsid w:val="00FA654D"/>
    <w:rsid w:val="00FA6D05"/>
    <w:rsid w:val="00FA6EE9"/>
    <w:rsid w:val="00FB2AA0"/>
    <w:rsid w:val="00FC1188"/>
    <w:rsid w:val="00FC1C5D"/>
    <w:rsid w:val="00FC4813"/>
    <w:rsid w:val="00FC70A1"/>
    <w:rsid w:val="00FC742D"/>
    <w:rsid w:val="00FD1A30"/>
    <w:rsid w:val="00FD295B"/>
    <w:rsid w:val="00FD5D01"/>
    <w:rsid w:val="00FE07E5"/>
    <w:rsid w:val="00FE0FDD"/>
    <w:rsid w:val="00FE1077"/>
    <w:rsid w:val="00FE1777"/>
    <w:rsid w:val="00FE2E9B"/>
    <w:rsid w:val="00FE46CC"/>
    <w:rsid w:val="00FE508C"/>
    <w:rsid w:val="00FE5395"/>
    <w:rsid w:val="00FE5C05"/>
    <w:rsid w:val="00FE6069"/>
    <w:rsid w:val="00FE6C97"/>
    <w:rsid w:val="00FF2ACC"/>
    <w:rsid w:val="00FF332A"/>
    <w:rsid w:val="00FF3687"/>
    <w:rsid w:val="00FF53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F2A"/>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4F2A"/>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Normal"/>
    <w:rsid w:val="00A45885"/>
    <w:pPr>
      <w:widowControl/>
      <w:spacing w:before="100" w:beforeAutospacing="1" w:after="100" w:afterAutospacing="1"/>
    </w:pPr>
    <w:rPr>
      <w:rFonts w:ascii="Times New Roman" w:hAnsi="Times New Roman" w:cs="Times New Roman"/>
      <w:color w:val="auto"/>
      <w:lang w:val="en-US" w:eastAsia="en-US"/>
    </w:rPr>
  </w:style>
  <w:style w:type="paragraph" w:styleId="NormalWeb">
    <w:name w:val="Normal (Web)"/>
    <w:basedOn w:val="Normal"/>
    <w:uiPriority w:val="99"/>
    <w:unhideWhenUsed/>
    <w:rsid w:val="002F26EE"/>
    <w:pPr>
      <w:widowControl/>
      <w:spacing w:before="100" w:beforeAutospacing="1" w:after="100" w:afterAutospacing="1"/>
    </w:pPr>
    <w:rPr>
      <w:rFonts w:ascii="Times New Roman" w:hAnsi="Times New Roman" w:cs="Times New Roman"/>
      <w:color w:val="auto"/>
      <w:lang w:val="en-US" w:eastAsia="en-US"/>
    </w:rPr>
  </w:style>
  <w:style w:type="character" w:styleId="Hyperlink">
    <w:name w:val="Hyperlink"/>
    <w:basedOn w:val="DefaultParagraphFont"/>
    <w:uiPriority w:val="99"/>
    <w:unhideWhenUsed/>
    <w:rsid w:val="009763BB"/>
    <w:rPr>
      <w:color w:val="0000FF"/>
      <w:u w:val="single"/>
    </w:rPr>
  </w:style>
  <w:style w:type="paragraph" w:styleId="FootnoteText">
    <w:name w:val="footnote text"/>
    <w:basedOn w:val="Normal"/>
    <w:link w:val="FootnoteTextChar"/>
    <w:semiHidden/>
    <w:rsid w:val="00461B3C"/>
    <w:pPr>
      <w:widowControl/>
    </w:pPr>
    <w:rPr>
      <w:rFonts w:ascii=".VnTime" w:hAnsi=".VnTime" w:cs=".VnTime"/>
      <w:b/>
      <w:bCs/>
      <w:color w:val="auto"/>
      <w:sz w:val="20"/>
      <w:szCs w:val="20"/>
      <w:lang w:val="en-US" w:eastAsia="en-US"/>
    </w:rPr>
  </w:style>
  <w:style w:type="character" w:customStyle="1" w:styleId="FootnoteTextChar">
    <w:name w:val="Footnote Text Char"/>
    <w:basedOn w:val="DefaultParagraphFont"/>
    <w:link w:val="FootnoteText"/>
    <w:semiHidden/>
    <w:rsid w:val="00461B3C"/>
    <w:rPr>
      <w:rFonts w:ascii=".VnTime" w:eastAsia="Times New Roman" w:hAnsi=".VnTime" w:cs=".VnTime"/>
      <w:b/>
      <w:bCs/>
      <w:sz w:val="20"/>
      <w:szCs w:val="20"/>
    </w:rPr>
  </w:style>
  <w:style w:type="character" w:styleId="FootnoteReference">
    <w:name w:val="footnote reference"/>
    <w:semiHidden/>
    <w:rsid w:val="00461B3C"/>
    <w:rPr>
      <w:rFonts w:eastAsia="MS Mincho"/>
      <w:vertAlign w:val="superscript"/>
      <w:lang w:val="en-US" w:eastAsia="en-US" w:bidi="ar-SA"/>
    </w:rPr>
  </w:style>
  <w:style w:type="paragraph" w:styleId="Header">
    <w:name w:val="header"/>
    <w:basedOn w:val="Normal"/>
    <w:link w:val="HeaderChar"/>
    <w:uiPriority w:val="99"/>
    <w:unhideWhenUsed/>
    <w:rsid w:val="008F2F98"/>
    <w:pPr>
      <w:tabs>
        <w:tab w:val="center" w:pos="4680"/>
        <w:tab w:val="right" w:pos="9360"/>
      </w:tabs>
    </w:pPr>
  </w:style>
  <w:style w:type="character" w:customStyle="1" w:styleId="HeaderChar">
    <w:name w:val="Header Char"/>
    <w:basedOn w:val="DefaultParagraphFont"/>
    <w:link w:val="Header"/>
    <w:uiPriority w:val="99"/>
    <w:rsid w:val="008F2F98"/>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semiHidden/>
    <w:unhideWhenUsed/>
    <w:rsid w:val="008F2F98"/>
    <w:pPr>
      <w:tabs>
        <w:tab w:val="center" w:pos="4680"/>
        <w:tab w:val="right" w:pos="9360"/>
      </w:tabs>
    </w:pPr>
  </w:style>
  <w:style w:type="character" w:customStyle="1" w:styleId="FooterChar">
    <w:name w:val="Footer Char"/>
    <w:basedOn w:val="DefaultParagraphFont"/>
    <w:link w:val="Footer"/>
    <w:uiPriority w:val="99"/>
    <w:semiHidden/>
    <w:rsid w:val="008F2F98"/>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rsid w:val="00F31681"/>
    <w:pPr>
      <w:widowControl/>
      <w:spacing w:after="200" w:line="276" w:lineRule="auto"/>
      <w:ind w:left="720"/>
      <w:contextualSpacing/>
    </w:pPr>
    <w:rPr>
      <w:rFonts w:ascii="Times New Roman" w:eastAsia="Calibri" w:hAnsi="Times New Roman" w:cs="Times New Roman"/>
      <w:color w:val="auto"/>
      <w:sz w:val="28"/>
      <w:szCs w:val="28"/>
      <w:lang w:val="en-US" w:eastAsia="en-US"/>
    </w:rPr>
  </w:style>
  <w:style w:type="character" w:customStyle="1" w:styleId="UnresolvedMention">
    <w:name w:val="Unresolved Mention"/>
    <w:basedOn w:val="DefaultParagraphFont"/>
    <w:uiPriority w:val="99"/>
    <w:semiHidden/>
    <w:unhideWhenUsed/>
    <w:rsid w:val="00A16D57"/>
    <w:rPr>
      <w:color w:val="605E5C"/>
      <w:shd w:val="clear" w:color="auto" w:fill="E1DFDD"/>
    </w:rPr>
  </w:style>
  <w:style w:type="character" w:styleId="CommentReference">
    <w:name w:val="annotation reference"/>
    <w:basedOn w:val="DefaultParagraphFont"/>
    <w:uiPriority w:val="99"/>
    <w:semiHidden/>
    <w:unhideWhenUsed/>
    <w:rsid w:val="0033531B"/>
    <w:rPr>
      <w:sz w:val="16"/>
      <w:szCs w:val="16"/>
    </w:rPr>
  </w:style>
  <w:style w:type="paragraph" w:styleId="CommentText">
    <w:name w:val="annotation text"/>
    <w:basedOn w:val="Normal"/>
    <w:link w:val="CommentTextChar"/>
    <w:uiPriority w:val="99"/>
    <w:semiHidden/>
    <w:unhideWhenUsed/>
    <w:rsid w:val="0033531B"/>
    <w:rPr>
      <w:sz w:val="20"/>
      <w:szCs w:val="20"/>
    </w:rPr>
  </w:style>
  <w:style w:type="character" w:customStyle="1" w:styleId="CommentTextChar">
    <w:name w:val="Comment Text Char"/>
    <w:basedOn w:val="DefaultParagraphFont"/>
    <w:link w:val="CommentText"/>
    <w:uiPriority w:val="99"/>
    <w:semiHidden/>
    <w:rsid w:val="0033531B"/>
    <w:rPr>
      <w:rFonts w:ascii="Courier New" w:eastAsia="Times New Roman" w:hAnsi="Courier New" w:cs="Courier New"/>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33531B"/>
    <w:rPr>
      <w:b/>
      <w:bCs/>
    </w:rPr>
  </w:style>
  <w:style w:type="character" w:customStyle="1" w:styleId="CommentSubjectChar">
    <w:name w:val="Comment Subject Char"/>
    <w:basedOn w:val="CommentTextChar"/>
    <w:link w:val="CommentSubject"/>
    <w:uiPriority w:val="99"/>
    <w:semiHidden/>
    <w:rsid w:val="0033531B"/>
    <w:rPr>
      <w:b/>
      <w:bCs/>
    </w:rPr>
  </w:style>
  <w:style w:type="paragraph" w:styleId="BalloonText">
    <w:name w:val="Balloon Text"/>
    <w:basedOn w:val="Normal"/>
    <w:link w:val="BalloonTextChar"/>
    <w:uiPriority w:val="99"/>
    <w:semiHidden/>
    <w:unhideWhenUsed/>
    <w:rsid w:val="0033531B"/>
    <w:rPr>
      <w:rFonts w:ascii="Tahoma" w:hAnsi="Tahoma" w:cs="Tahoma"/>
      <w:sz w:val="16"/>
      <w:szCs w:val="16"/>
    </w:rPr>
  </w:style>
  <w:style w:type="character" w:customStyle="1" w:styleId="BalloonTextChar">
    <w:name w:val="Balloon Text Char"/>
    <w:basedOn w:val="DefaultParagraphFont"/>
    <w:link w:val="BalloonText"/>
    <w:uiPriority w:val="99"/>
    <w:semiHidden/>
    <w:rsid w:val="0033531B"/>
    <w:rPr>
      <w:rFonts w:ascii="Tahoma" w:eastAsia="Times New Roman" w:hAnsi="Tahoma" w:cs="Tahoma"/>
      <w:color w:val="000000"/>
      <w:sz w:val="16"/>
      <w:szCs w:val="16"/>
      <w:lang w:val="vi-VN" w:eastAsia="vi-VN"/>
    </w:rPr>
  </w:style>
</w:styles>
</file>

<file path=word/webSettings.xml><?xml version="1.0" encoding="utf-8"?>
<w:webSettings xmlns:r="http://schemas.openxmlformats.org/officeDocument/2006/relationships" xmlns:w="http://schemas.openxmlformats.org/wordprocessingml/2006/main">
  <w:divs>
    <w:div w:id="174148430">
      <w:bodyDiv w:val="1"/>
      <w:marLeft w:val="0"/>
      <w:marRight w:val="0"/>
      <w:marTop w:val="0"/>
      <w:marBottom w:val="0"/>
      <w:divBdr>
        <w:top w:val="none" w:sz="0" w:space="0" w:color="auto"/>
        <w:left w:val="none" w:sz="0" w:space="0" w:color="auto"/>
        <w:bottom w:val="none" w:sz="0" w:space="0" w:color="auto"/>
        <w:right w:val="none" w:sz="0" w:space="0" w:color="auto"/>
      </w:divBdr>
    </w:div>
    <w:div w:id="375007039">
      <w:bodyDiv w:val="1"/>
      <w:marLeft w:val="0"/>
      <w:marRight w:val="0"/>
      <w:marTop w:val="0"/>
      <w:marBottom w:val="0"/>
      <w:divBdr>
        <w:top w:val="none" w:sz="0" w:space="0" w:color="auto"/>
        <w:left w:val="none" w:sz="0" w:space="0" w:color="auto"/>
        <w:bottom w:val="none" w:sz="0" w:space="0" w:color="auto"/>
        <w:right w:val="none" w:sz="0" w:space="0" w:color="auto"/>
      </w:divBdr>
    </w:div>
    <w:div w:id="375393478">
      <w:bodyDiv w:val="1"/>
      <w:marLeft w:val="0"/>
      <w:marRight w:val="0"/>
      <w:marTop w:val="0"/>
      <w:marBottom w:val="0"/>
      <w:divBdr>
        <w:top w:val="none" w:sz="0" w:space="0" w:color="auto"/>
        <w:left w:val="none" w:sz="0" w:space="0" w:color="auto"/>
        <w:bottom w:val="none" w:sz="0" w:space="0" w:color="auto"/>
        <w:right w:val="none" w:sz="0" w:space="0" w:color="auto"/>
      </w:divBdr>
    </w:div>
    <w:div w:id="426852227">
      <w:bodyDiv w:val="1"/>
      <w:marLeft w:val="0"/>
      <w:marRight w:val="0"/>
      <w:marTop w:val="0"/>
      <w:marBottom w:val="0"/>
      <w:divBdr>
        <w:top w:val="none" w:sz="0" w:space="0" w:color="auto"/>
        <w:left w:val="none" w:sz="0" w:space="0" w:color="auto"/>
        <w:bottom w:val="none" w:sz="0" w:space="0" w:color="auto"/>
        <w:right w:val="none" w:sz="0" w:space="0" w:color="auto"/>
      </w:divBdr>
    </w:div>
    <w:div w:id="590966758">
      <w:bodyDiv w:val="1"/>
      <w:marLeft w:val="0"/>
      <w:marRight w:val="0"/>
      <w:marTop w:val="0"/>
      <w:marBottom w:val="0"/>
      <w:divBdr>
        <w:top w:val="none" w:sz="0" w:space="0" w:color="auto"/>
        <w:left w:val="none" w:sz="0" w:space="0" w:color="auto"/>
        <w:bottom w:val="none" w:sz="0" w:space="0" w:color="auto"/>
        <w:right w:val="none" w:sz="0" w:space="0" w:color="auto"/>
      </w:divBdr>
    </w:div>
    <w:div w:id="764964287">
      <w:bodyDiv w:val="1"/>
      <w:marLeft w:val="0"/>
      <w:marRight w:val="0"/>
      <w:marTop w:val="0"/>
      <w:marBottom w:val="0"/>
      <w:divBdr>
        <w:top w:val="none" w:sz="0" w:space="0" w:color="auto"/>
        <w:left w:val="none" w:sz="0" w:space="0" w:color="auto"/>
        <w:bottom w:val="none" w:sz="0" w:space="0" w:color="auto"/>
        <w:right w:val="none" w:sz="0" w:space="0" w:color="auto"/>
      </w:divBdr>
    </w:div>
    <w:div w:id="1027293945">
      <w:bodyDiv w:val="1"/>
      <w:marLeft w:val="0"/>
      <w:marRight w:val="0"/>
      <w:marTop w:val="0"/>
      <w:marBottom w:val="0"/>
      <w:divBdr>
        <w:top w:val="none" w:sz="0" w:space="0" w:color="auto"/>
        <w:left w:val="none" w:sz="0" w:space="0" w:color="auto"/>
        <w:bottom w:val="none" w:sz="0" w:space="0" w:color="auto"/>
        <w:right w:val="none" w:sz="0" w:space="0" w:color="auto"/>
      </w:divBdr>
    </w:div>
    <w:div w:id="1191531476">
      <w:bodyDiv w:val="1"/>
      <w:marLeft w:val="0"/>
      <w:marRight w:val="0"/>
      <w:marTop w:val="0"/>
      <w:marBottom w:val="0"/>
      <w:divBdr>
        <w:top w:val="none" w:sz="0" w:space="0" w:color="auto"/>
        <w:left w:val="none" w:sz="0" w:space="0" w:color="auto"/>
        <w:bottom w:val="none" w:sz="0" w:space="0" w:color="auto"/>
        <w:right w:val="none" w:sz="0" w:space="0" w:color="auto"/>
      </w:divBdr>
    </w:div>
    <w:div w:id="1299259035">
      <w:bodyDiv w:val="1"/>
      <w:marLeft w:val="0"/>
      <w:marRight w:val="0"/>
      <w:marTop w:val="0"/>
      <w:marBottom w:val="0"/>
      <w:divBdr>
        <w:top w:val="none" w:sz="0" w:space="0" w:color="auto"/>
        <w:left w:val="none" w:sz="0" w:space="0" w:color="auto"/>
        <w:bottom w:val="none" w:sz="0" w:space="0" w:color="auto"/>
        <w:right w:val="none" w:sz="0" w:space="0" w:color="auto"/>
      </w:divBdr>
    </w:div>
    <w:div w:id="1819224922">
      <w:bodyDiv w:val="1"/>
      <w:marLeft w:val="0"/>
      <w:marRight w:val="0"/>
      <w:marTop w:val="0"/>
      <w:marBottom w:val="0"/>
      <w:divBdr>
        <w:top w:val="none" w:sz="0" w:space="0" w:color="auto"/>
        <w:left w:val="none" w:sz="0" w:space="0" w:color="auto"/>
        <w:bottom w:val="none" w:sz="0" w:space="0" w:color="auto"/>
        <w:right w:val="none" w:sz="0" w:space="0" w:color="auto"/>
      </w:divBdr>
    </w:div>
    <w:div w:id="1924603691">
      <w:bodyDiv w:val="1"/>
      <w:marLeft w:val="0"/>
      <w:marRight w:val="0"/>
      <w:marTop w:val="0"/>
      <w:marBottom w:val="0"/>
      <w:divBdr>
        <w:top w:val="none" w:sz="0" w:space="0" w:color="auto"/>
        <w:left w:val="none" w:sz="0" w:space="0" w:color="auto"/>
        <w:bottom w:val="none" w:sz="0" w:space="0" w:color="auto"/>
        <w:right w:val="none" w:sz="0" w:space="0" w:color="auto"/>
      </w:divBdr>
    </w:div>
    <w:div w:id="2074429656">
      <w:bodyDiv w:val="1"/>
      <w:marLeft w:val="0"/>
      <w:marRight w:val="0"/>
      <w:marTop w:val="0"/>
      <w:marBottom w:val="0"/>
      <w:divBdr>
        <w:top w:val="none" w:sz="0" w:space="0" w:color="auto"/>
        <w:left w:val="none" w:sz="0" w:space="0" w:color="auto"/>
        <w:bottom w:val="none" w:sz="0" w:space="0" w:color="auto"/>
        <w:right w:val="none" w:sz="0" w:space="0" w:color="auto"/>
      </w:divBdr>
    </w:div>
    <w:div w:id="211558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1619</TotalTime>
  <Pages>6</Pages>
  <Words>1551</Words>
  <Characters>8844</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Hewlett-Packard Company</Company>
  <LinksUpToDate>false</LinksUpToDate>
  <CharactersWithSpaces>10375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nguyendoanlong</dc:creator>
  <cp:lastModifiedBy>DAI DUONG</cp:lastModifiedBy>
  <cp:revision>1620</cp:revision>
  <cp:lastPrinted>2025-05-30T08:18:00Z</cp:lastPrinted>
  <dcterms:created xsi:type="dcterms:W3CDTF">2025-04-22T01:52:00Z</dcterms:created>
  <dcterms:modified xsi:type="dcterms:W3CDTF">2025-08-06T09:23:00Z</dcterms:modified>
</cp:coreProperties>
</file>