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6A36" w14:textId="77777777" w:rsidR="00CA35FA" w:rsidRPr="00CA35FA" w:rsidRDefault="00CA35FA" w:rsidP="00CA35FA">
      <w:pPr>
        <w:tabs>
          <w:tab w:val="center" w:pos="2268"/>
          <w:tab w:val="center" w:pos="6804"/>
        </w:tabs>
        <w:spacing w:after="0" w:line="240" w:lineRule="auto"/>
        <w:rPr>
          <w:rFonts w:eastAsia="Times New Roman"/>
          <w:b/>
          <w:spacing w:val="-10"/>
          <w:sz w:val="24"/>
          <w:szCs w:val="24"/>
        </w:rPr>
      </w:pPr>
      <w:r w:rsidRPr="00CA35FA">
        <w:rPr>
          <w:rFonts w:eastAsia="Times New Roman"/>
        </w:rPr>
        <w:t xml:space="preserve">           UBND TỈNH ĐỒNG NAI       </w:t>
      </w:r>
      <w:r w:rsidRPr="00CA35FA">
        <w:rPr>
          <w:rFonts w:eastAsia="Times New Roman"/>
        </w:rPr>
        <w:tab/>
      </w:r>
      <w:r w:rsidRPr="00CA35FA">
        <w:rPr>
          <w:rFonts w:eastAsia="Times New Roman"/>
          <w:b/>
          <w:spacing w:val="-10"/>
          <w:sz w:val="24"/>
          <w:szCs w:val="24"/>
        </w:rPr>
        <w:t xml:space="preserve">CỘNG HÒA XÃ HỘI CHỦ NGHĨA VIỆT NAM </w:t>
      </w:r>
    </w:p>
    <w:p w14:paraId="61A3722E" w14:textId="77777777" w:rsidR="00CA35FA" w:rsidRPr="00CA35FA" w:rsidRDefault="00CA35FA" w:rsidP="00CA35FA">
      <w:pPr>
        <w:tabs>
          <w:tab w:val="center" w:pos="2268"/>
          <w:tab w:val="center" w:pos="6804"/>
        </w:tabs>
        <w:spacing w:after="0" w:line="240" w:lineRule="auto"/>
        <w:rPr>
          <w:rFonts w:eastAsia="Times New Roman"/>
          <w:b/>
          <w:spacing w:val="-10"/>
          <w:sz w:val="28"/>
          <w:szCs w:val="28"/>
        </w:rPr>
      </w:pPr>
      <w:r w:rsidRPr="00CA35FA">
        <w:rPr>
          <w:rFonts w:eastAsia="Times New Roman"/>
          <w:b/>
          <w:spacing w:val="-10"/>
          <w:sz w:val="24"/>
          <w:szCs w:val="24"/>
        </w:rPr>
        <w:t xml:space="preserve">SỞ VĂN HÓA, THỂ THAO VÀ DU LỊCH                </w:t>
      </w:r>
      <w:r w:rsidRPr="00CA35FA">
        <w:rPr>
          <w:rFonts w:eastAsia="Times New Roman"/>
          <w:b/>
          <w:spacing w:val="-10"/>
          <w:sz w:val="24"/>
          <w:szCs w:val="24"/>
        </w:rPr>
        <w:tab/>
      </w:r>
      <w:r w:rsidRPr="00CA35FA">
        <w:rPr>
          <w:rFonts w:eastAsia="Times New Roman"/>
          <w:b/>
          <w:spacing w:val="-10"/>
          <w:sz w:val="28"/>
          <w:szCs w:val="28"/>
        </w:rPr>
        <w:t>Độc lập - Tự do - Hạnh phúc</w:t>
      </w:r>
    </w:p>
    <w:p w14:paraId="56604360" w14:textId="77777777" w:rsidR="00CA35FA" w:rsidRPr="00CA35FA" w:rsidRDefault="00CA35FA" w:rsidP="00CA35FA">
      <w:pPr>
        <w:tabs>
          <w:tab w:val="center" w:pos="1620"/>
          <w:tab w:val="center" w:pos="7020"/>
        </w:tabs>
        <w:spacing w:after="0" w:line="240" w:lineRule="auto"/>
        <w:rPr>
          <w:rFonts w:eastAsia="Times New Roman"/>
        </w:rPr>
      </w:pPr>
      <w:r w:rsidRPr="00CA35FA">
        <w:rPr>
          <w:rFonts w:eastAsia="Calibri"/>
          <w:noProof/>
          <w:sz w:val="22"/>
          <w:szCs w:val="22"/>
        </w:rPr>
        <mc:AlternateContent>
          <mc:Choice Requires="wps">
            <w:drawing>
              <wp:anchor distT="4294967295" distB="4294967295" distL="114300" distR="114300" simplePos="0" relativeHeight="251660288" behindDoc="0" locked="0" layoutInCell="1" allowOverlap="1" wp14:anchorId="46058C99" wp14:editId="5DEF9170">
                <wp:simplePos x="0" y="0"/>
                <wp:positionH relativeFrom="column">
                  <wp:posOffset>3416300</wp:posOffset>
                </wp:positionH>
                <wp:positionV relativeFrom="paragraph">
                  <wp:posOffset>71119</wp:posOffset>
                </wp:positionV>
                <wp:extent cx="1866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0921"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5.6pt" to="4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"/>
            </w:pict>
          </mc:Fallback>
        </mc:AlternateContent>
      </w:r>
      <w:r w:rsidRPr="00CA35FA">
        <w:rPr>
          <w:rFonts w:eastAsia="Calibri"/>
          <w:noProof/>
          <w:sz w:val="22"/>
          <w:szCs w:val="22"/>
        </w:rPr>
        <mc:AlternateContent>
          <mc:Choice Requires="wps">
            <w:drawing>
              <wp:anchor distT="4294967295" distB="4294967295" distL="114300" distR="114300" simplePos="0" relativeHeight="251661312" behindDoc="0" locked="0" layoutInCell="1" allowOverlap="1" wp14:anchorId="4AAB56F2" wp14:editId="2A3352EA">
                <wp:simplePos x="0" y="0"/>
                <wp:positionH relativeFrom="column">
                  <wp:posOffset>631190</wp:posOffset>
                </wp:positionH>
                <wp:positionV relativeFrom="paragraph">
                  <wp:posOffset>60959</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ED3B7"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4.8pt" to="157.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"/>
            </w:pict>
          </mc:Fallback>
        </mc:AlternateContent>
      </w:r>
      <w:r w:rsidRPr="00CA35FA">
        <w:rPr>
          <w:rFonts w:eastAsia="Calibri"/>
          <w:noProof/>
          <w:sz w:val="22"/>
          <w:szCs w:val="22"/>
        </w:rPr>
        <mc:AlternateContent>
          <mc:Choice Requires="wps">
            <w:drawing>
              <wp:anchor distT="4294967295" distB="4294967295" distL="114299" distR="114299" simplePos="0" relativeHeight="251659264" behindDoc="0" locked="0" layoutInCell="1" allowOverlap="1" wp14:anchorId="0E009C0D" wp14:editId="486F454F">
                <wp:simplePos x="0" y="0"/>
                <wp:positionH relativeFrom="column">
                  <wp:posOffset>3771899</wp:posOffset>
                </wp:positionH>
                <wp:positionV relativeFrom="paragraph">
                  <wp:posOffset>77469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73C24" id="Straight Connector 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7pt,6.1pt" to="29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"/>
            </w:pict>
          </mc:Fallback>
        </mc:AlternateContent>
      </w:r>
      <w:r w:rsidRPr="00CA35FA">
        <w:rPr>
          <w:rFonts w:eastAsia="Times New Roman"/>
        </w:rPr>
        <w:tab/>
      </w:r>
    </w:p>
    <w:p w14:paraId="282EFA85" w14:textId="0A6F0834" w:rsidR="00CA35FA" w:rsidRPr="00CA35FA" w:rsidRDefault="00CA35FA" w:rsidP="00CA35FA">
      <w:pPr>
        <w:spacing w:before="360" w:after="360"/>
        <w:jc w:val="center"/>
        <w:rPr>
          <w:b/>
          <w:bCs/>
          <w:color w:val="212529"/>
          <w:sz w:val="28"/>
          <w:szCs w:val="28"/>
        </w:rPr>
      </w:pPr>
      <w:r>
        <w:rPr>
          <w:b/>
          <w:bCs/>
          <w:noProof/>
        </w:rPr>
        <mc:AlternateContent>
          <mc:Choice Requires="wps">
            <w:drawing>
              <wp:anchor distT="0" distB="0" distL="114300" distR="114300" simplePos="0" relativeHeight="251662336" behindDoc="0" locked="0" layoutInCell="1" allowOverlap="1" wp14:anchorId="609A5847" wp14:editId="55A4FFAA">
                <wp:simplePos x="0" y="0"/>
                <wp:positionH relativeFrom="column">
                  <wp:posOffset>2218690</wp:posOffset>
                </wp:positionH>
                <wp:positionV relativeFrom="paragraph">
                  <wp:posOffset>1224585</wp:posOffset>
                </wp:positionV>
                <wp:extent cx="1623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47B5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7pt,96.4pt" to="302.5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n9tAEAALcDAAAOAAAAZHJzL2Uyb0RvYy54bWysU8GO0zAQvSPxD5bvNGkRC0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" strokecolor="black [3200]" strokeweight=".5pt">
                <v:stroke joinstyle="miter"/>
              </v:line>
            </w:pict>
          </mc:Fallback>
        </mc:AlternateContent>
      </w:r>
      <w:r>
        <w:rPr>
          <w:b/>
          <w:bCs/>
        </w:rPr>
        <w:t>BẢN SO SÁNH, THUYẾT MINH</w:t>
      </w:r>
      <w:r>
        <w:rPr>
          <w:b/>
          <w:bCs/>
        </w:rPr>
        <w:br/>
      </w:r>
      <w:r w:rsidRPr="00CA35FA">
        <w:rPr>
          <w:b/>
          <w:bCs/>
          <w:color w:val="000000"/>
          <w:sz w:val="28"/>
          <w:szCs w:val="28"/>
        </w:rPr>
        <w:t xml:space="preserve">Dự thảo Quyết định phân cấp cho Ủy ban nhân dân cấp xã </w:t>
      </w:r>
      <w:r w:rsidRPr="00CA35FA">
        <w:rPr>
          <w:b/>
          <w:bCs/>
          <w:color w:val="212529"/>
          <w:sz w:val="28"/>
          <w:szCs w:val="28"/>
        </w:rPr>
        <w:t xml:space="preserve">thẩm quyền cấp, </w:t>
      </w:r>
      <w:r w:rsidRPr="00CA35FA">
        <w:rPr>
          <w:b/>
          <w:bCs/>
          <w:color w:val="212529"/>
          <w:sz w:val="28"/>
          <w:szCs w:val="28"/>
        </w:rPr>
        <w:br/>
        <w:t xml:space="preserve">điều chỉnh và thu hồi Giấy phép đủ điều kiện kinh doanh dịch vụ </w:t>
      </w:r>
      <w:r w:rsidRPr="00CA35FA">
        <w:rPr>
          <w:b/>
          <w:bCs/>
          <w:color w:val="212529"/>
          <w:sz w:val="28"/>
          <w:szCs w:val="28"/>
        </w:rPr>
        <w:br/>
        <w:t>karaoke, dịch vụ vũ trường trên địa bàn tỉnh Đồng Nai</w:t>
      </w:r>
    </w:p>
    <w:p w14:paraId="63942457" w14:textId="7ADD19D8" w:rsidR="00CA35FA" w:rsidRPr="00971EF7" w:rsidRDefault="00CA35FA" w:rsidP="00CA35FA">
      <w:pPr>
        <w:jc w:val="center"/>
        <w:rPr>
          <w:b/>
          <w:bCs/>
        </w:rPr>
      </w:pPr>
      <w:r w:rsidRPr="00971EF7">
        <w:rPr>
          <w:i/>
          <w:iCs/>
        </w:rPr>
        <w:t xml:space="preserve">(Kèm theo Báo cáo số </w:t>
      </w:r>
      <w:r>
        <w:rPr>
          <w:i/>
          <w:iCs/>
        </w:rPr>
        <w:t xml:space="preserve">         </w:t>
      </w:r>
      <w:r w:rsidRPr="00971EF7">
        <w:rPr>
          <w:i/>
          <w:iCs/>
        </w:rPr>
        <w:t>/BC-SVHTTDL ngày … tháng … năm 202</w:t>
      </w:r>
      <w:r w:rsidR="0086370B">
        <w:rPr>
          <w:i/>
          <w:iCs/>
        </w:rPr>
        <w:t>6</w:t>
      </w:r>
      <w:r w:rsidRPr="00971EF7">
        <w:rPr>
          <w:i/>
          <w:iCs/>
        </w:rPr>
        <w:t xml:space="preserve"> của Sở Văn hóa, Thể thao và Du lịch)</w:t>
      </w:r>
    </w:p>
    <w:p w14:paraId="454318F0" w14:textId="7BC33420" w:rsidR="00CA35FA" w:rsidRPr="00971EF7" w:rsidRDefault="00CA35FA" w:rsidP="00CA35FA">
      <w:pPr>
        <w:spacing w:before="120" w:after="120" w:line="340" w:lineRule="exact"/>
        <w:ind w:firstLine="720"/>
        <w:jc w:val="both"/>
        <w:rPr>
          <w:b/>
          <w:bCs/>
        </w:rPr>
      </w:pPr>
    </w:p>
    <w:tbl>
      <w:tblPr>
        <w:tblStyle w:val="TableGrid"/>
        <w:tblW w:w="8926" w:type="dxa"/>
        <w:tblLook w:val="04A0" w:firstRow="1" w:lastRow="0" w:firstColumn="1" w:lastColumn="0" w:noHBand="0" w:noVBand="1"/>
      </w:tblPr>
      <w:tblGrid>
        <w:gridCol w:w="1129"/>
        <w:gridCol w:w="3686"/>
        <w:gridCol w:w="4111"/>
      </w:tblGrid>
      <w:tr w:rsidR="00CA35FA" w:rsidRPr="00661E96" w14:paraId="361D94B9" w14:textId="77777777" w:rsidTr="00CA35FA">
        <w:tc>
          <w:tcPr>
            <w:tcW w:w="1129" w:type="dxa"/>
          </w:tcPr>
          <w:p w14:paraId="3A208847" w14:textId="15A3FE9A" w:rsidR="00CA35FA" w:rsidRPr="00661E96" w:rsidRDefault="00CA35FA" w:rsidP="00A855A1">
            <w:pPr>
              <w:jc w:val="center"/>
              <w:rPr>
                <w:b/>
                <w:bCs/>
              </w:rPr>
            </w:pPr>
            <w:r>
              <w:rPr>
                <w:b/>
                <w:bCs/>
              </w:rPr>
              <w:t>QUY PHẠM PHÁP LUẬT HIỆN HÀNH</w:t>
            </w:r>
          </w:p>
        </w:tc>
        <w:tc>
          <w:tcPr>
            <w:tcW w:w="3686" w:type="dxa"/>
          </w:tcPr>
          <w:p w14:paraId="0D18E483" w14:textId="26C47F1C" w:rsidR="00CA35FA" w:rsidRPr="00661E96" w:rsidRDefault="00CA35FA" w:rsidP="00A855A1">
            <w:pPr>
              <w:jc w:val="center"/>
              <w:rPr>
                <w:b/>
                <w:bCs/>
              </w:rPr>
            </w:pPr>
            <w:r>
              <w:rPr>
                <w:b/>
                <w:bCs/>
              </w:rPr>
              <w:t>DỰ THẢO VĂN BẢN</w:t>
            </w:r>
          </w:p>
        </w:tc>
        <w:tc>
          <w:tcPr>
            <w:tcW w:w="4111" w:type="dxa"/>
          </w:tcPr>
          <w:p w14:paraId="0F032B77" w14:textId="2769C146" w:rsidR="00CA35FA" w:rsidRPr="00661E96" w:rsidRDefault="00CA35FA" w:rsidP="00A855A1">
            <w:pPr>
              <w:jc w:val="center"/>
              <w:rPr>
                <w:b/>
                <w:bCs/>
              </w:rPr>
            </w:pPr>
            <w:r>
              <w:rPr>
                <w:b/>
                <w:bCs/>
              </w:rPr>
              <w:t>THUYẾT MINH</w:t>
            </w:r>
          </w:p>
        </w:tc>
      </w:tr>
      <w:tr w:rsidR="00CA35FA" w14:paraId="32546857" w14:textId="77777777" w:rsidTr="00CA35FA">
        <w:tc>
          <w:tcPr>
            <w:tcW w:w="1129" w:type="dxa"/>
          </w:tcPr>
          <w:p w14:paraId="27DF576C" w14:textId="6B0EDB40" w:rsidR="00CA35FA" w:rsidRPr="00661E96" w:rsidRDefault="00CA35FA" w:rsidP="00A855A1">
            <w:pPr>
              <w:jc w:val="both"/>
            </w:pPr>
            <w:r>
              <w:t>Điều 1</w:t>
            </w:r>
          </w:p>
        </w:tc>
        <w:tc>
          <w:tcPr>
            <w:tcW w:w="3686" w:type="dxa"/>
          </w:tcPr>
          <w:p w14:paraId="6C9A08CC" w14:textId="77777777" w:rsidR="00CA35FA" w:rsidRPr="00CC5806" w:rsidRDefault="00CA35FA" w:rsidP="00CA35FA">
            <w:pPr>
              <w:spacing w:before="120" w:after="120" w:line="320" w:lineRule="exact"/>
              <w:jc w:val="both"/>
              <w:rPr>
                <w:color w:val="212529"/>
                <w:sz w:val="28"/>
                <w:szCs w:val="28"/>
              </w:rPr>
            </w:pPr>
            <w:r w:rsidRPr="00CC5806">
              <w:rPr>
                <w:b/>
                <w:bCs/>
                <w:color w:val="212529"/>
                <w:sz w:val="28"/>
                <w:szCs w:val="28"/>
              </w:rPr>
              <w:t>Điều 1. Phạm vi điều chỉnh và đối tượng áp dụng</w:t>
            </w:r>
          </w:p>
          <w:p w14:paraId="6C5068B3" w14:textId="77777777" w:rsidR="00CA35FA" w:rsidRPr="000B7ED4" w:rsidRDefault="00CA35FA" w:rsidP="00CA35FA">
            <w:pPr>
              <w:spacing w:before="120" w:after="120" w:line="320" w:lineRule="exact"/>
              <w:jc w:val="both"/>
              <w:rPr>
                <w:sz w:val="28"/>
                <w:szCs w:val="28"/>
              </w:rPr>
            </w:pPr>
            <w:r>
              <w:rPr>
                <w:sz w:val="28"/>
                <w:szCs w:val="28"/>
              </w:rPr>
              <w:t xml:space="preserve">1. </w:t>
            </w:r>
            <w:r w:rsidRPr="000B7ED4">
              <w:rPr>
                <w:sz w:val="28"/>
                <w:szCs w:val="28"/>
              </w:rPr>
              <w:t xml:space="preserve">Quyết định này quy định việc phân cấp cho </w:t>
            </w:r>
            <w:r>
              <w:rPr>
                <w:b/>
                <w:bCs/>
                <w:color w:val="000000"/>
                <w:sz w:val="28"/>
                <w:szCs w:val="28"/>
              </w:rPr>
              <w:t>Ủy ban nhân dân cấp xã</w:t>
            </w:r>
            <w:r w:rsidRPr="000B7ED4">
              <w:rPr>
                <w:sz w:val="28"/>
                <w:szCs w:val="28"/>
              </w:rPr>
              <w:t xml:space="preserve"> thẩm quyền cấp, điều chỉnh và thu hồi Giấy phép đủ điều kiện kinh doanh dịch vụ karaoke, dịch vụ vũ trường thuộc thẩm quyền giải quyết của Ủy ban nhân dân tỉnh Đồng Nai được quy định tại 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w:t>
            </w:r>
            <w:r w:rsidRPr="000B7ED4">
              <w:rPr>
                <w:i/>
                <w:iCs/>
                <w:color w:val="000000"/>
                <w:sz w:val="28"/>
                <w:szCs w:val="28"/>
              </w:rPr>
              <w:t xml:space="preserve"> </w:t>
            </w:r>
            <w:r w:rsidRPr="000B7ED4">
              <w:rPr>
                <w:color w:val="000000"/>
                <w:sz w:val="28"/>
                <w:szCs w:val="28"/>
              </w:rPr>
              <w:t xml:space="preserve">sửa đổi, bổ sung một số điều của Nghị định số 54/2019/NĐ-CP ngày 19 tháng 6 năm 2019 của Chính phủ quy định về kinh doanh dịch vụ </w:t>
            </w:r>
            <w:r w:rsidRPr="000B7ED4">
              <w:rPr>
                <w:color w:val="000000"/>
                <w:sz w:val="28"/>
                <w:szCs w:val="28"/>
              </w:rPr>
              <w:lastRenderedPageBreak/>
              <w:t>karaoke, dịch vụ vũ trường</w:t>
            </w:r>
            <w:r w:rsidRPr="000B7ED4">
              <w:rPr>
                <w:sz w:val="28"/>
                <w:szCs w:val="28"/>
              </w:rPr>
              <w:t>) về thẩm quyền cấp, điều chỉnh và thu hồi Giấy phép đủ điều kiện kinh doanh dịch vụ karaoke hoặc dịch vụ vũ trường.</w:t>
            </w:r>
          </w:p>
          <w:p w14:paraId="3E299863" w14:textId="38D38493" w:rsidR="00CA35FA" w:rsidRPr="00CA35FA" w:rsidRDefault="00CA35FA" w:rsidP="00CA35FA">
            <w:pPr>
              <w:spacing w:before="120" w:after="120" w:line="320" w:lineRule="exact"/>
              <w:jc w:val="both"/>
              <w:rPr>
                <w:sz w:val="28"/>
                <w:szCs w:val="28"/>
              </w:rPr>
            </w:pPr>
            <w:r>
              <w:rPr>
                <w:sz w:val="28"/>
                <w:szCs w:val="28"/>
              </w:rPr>
              <w:t xml:space="preserve">2. </w:t>
            </w:r>
            <w:r w:rsidRPr="000B7ED4">
              <w:rPr>
                <w:sz w:val="28"/>
                <w:szCs w:val="28"/>
              </w:rPr>
              <w:t xml:space="preserve">Quyết định này áp dụng đối với </w:t>
            </w:r>
            <w:r>
              <w:rPr>
                <w:b/>
                <w:bCs/>
                <w:color w:val="000000"/>
                <w:sz w:val="28"/>
                <w:szCs w:val="28"/>
              </w:rPr>
              <w:t xml:space="preserve">Ủy ban nhân dân cấp xã </w:t>
            </w:r>
            <w:r w:rsidRPr="000B7ED4">
              <w:rPr>
                <w:sz w:val="28"/>
                <w:szCs w:val="28"/>
              </w:rPr>
              <w:t>và các cơ quan, tổ chức có liên quan đến hoạt động kinh doanh dịch vụ karaoke, dịch vụ vũ trường trên địa bàn tỉnh Đồng Nai.</w:t>
            </w:r>
          </w:p>
        </w:tc>
        <w:tc>
          <w:tcPr>
            <w:tcW w:w="4111" w:type="dxa"/>
          </w:tcPr>
          <w:p w14:paraId="03B27617" w14:textId="00F7DE42" w:rsidR="00CA35FA" w:rsidRPr="00CA35FA" w:rsidRDefault="00CA35FA" w:rsidP="000911D6">
            <w:pPr>
              <w:shd w:val="clear" w:color="auto" w:fill="FFFFFF"/>
              <w:spacing w:before="120" w:after="120" w:line="340" w:lineRule="exact"/>
              <w:jc w:val="both"/>
              <w:rPr>
                <w:i/>
                <w:iCs/>
                <w:color w:val="FF0000"/>
                <w:sz w:val="28"/>
                <w:szCs w:val="28"/>
              </w:rPr>
            </w:pPr>
            <w:r>
              <w:rPr>
                <w:sz w:val="28"/>
                <w:szCs w:val="28"/>
              </w:rPr>
              <w:lastRenderedPageBreak/>
              <w:t xml:space="preserve">Quy định này phù hợp với </w:t>
            </w:r>
            <w:bookmarkStart w:id="0" w:name="_Hlk204003102"/>
            <w:r w:rsidRPr="00CA35FA">
              <w:rPr>
                <w:sz w:val="28"/>
                <w:szCs w:val="28"/>
              </w:rPr>
              <w:t xml:space="preserve">Điều 13 Luật Tổ chức chính quyền địa phương ngày 16 tháng 6 năm 2025 quy định: </w:t>
            </w:r>
            <w:r w:rsidRPr="00CA35FA">
              <w:rPr>
                <w:i/>
                <w:iCs/>
                <w:color w:val="000000"/>
                <w:sz w:val="28"/>
                <w:szCs w:val="28"/>
                <w:shd w:val="clear" w:color="auto" w:fill="FFFFFF"/>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bookmarkEnd w:id="0"/>
            <w:r>
              <w:rPr>
                <w:i/>
                <w:iCs/>
                <w:color w:val="000000"/>
                <w:sz w:val="28"/>
                <w:szCs w:val="28"/>
                <w:shd w:val="clear" w:color="auto" w:fill="FFFFFF"/>
              </w:rPr>
              <w:t>;</w:t>
            </w:r>
            <w:r w:rsidRPr="00CA35FA">
              <w:rPr>
                <w:sz w:val="28"/>
                <w:szCs w:val="28"/>
              </w:rPr>
              <w:t xml:space="preserve"> Khoản 4 mục III phần III Đề án số 7831/ĐA-UBND xác định: </w:t>
            </w:r>
            <w:r w:rsidRPr="00CA35FA">
              <w:rPr>
                <w:i/>
                <w:iCs/>
                <w:sz w:val="28"/>
                <w:szCs w:val="28"/>
              </w:rPr>
              <w:t xml:space="preserve">“4. Đối với ngành, lĩnh vực Văn hóa, Thể thao và Du lịch: Đẩy mạnh phân cấp chức năng, nhiệm vụ quản lý nhà nước trong lĩnh vực karaoke trên cơ sở Nghị định số 54/2019/NĐ-CP ngày 19 tháng 6 năm 2019 của Chính phủ quy định </w:t>
            </w:r>
            <w:r w:rsidRPr="00CA35FA">
              <w:rPr>
                <w:i/>
                <w:iCs/>
                <w:sz w:val="28"/>
                <w:szCs w:val="28"/>
              </w:rPr>
              <w:lastRenderedPageBreak/>
              <w:t>về kinh doanh dịch vụ karaoke, dịch vụ vũ trường”</w:t>
            </w:r>
            <w:r>
              <w:rPr>
                <w:i/>
                <w:iCs/>
                <w:sz w:val="28"/>
                <w:szCs w:val="28"/>
              </w:rPr>
              <w:t>;</w:t>
            </w:r>
            <w:r w:rsidRPr="00CA35FA">
              <w:rPr>
                <w:sz w:val="28"/>
                <w:szCs w:val="28"/>
              </w:rPr>
              <w:t xml:space="preserve"> Khoản 3 </w:t>
            </w:r>
            <w:bookmarkStart w:id="1" w:name="_Hlk204072368"/>
            <w:r w:rsidRPr="00CA35FA">
              <w:rPr>
                <w:sz w:val="28"/>
                <w:szCs w:val="28"/>
              </w:rPr>
              <w:t xml:space="preserve">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 quy định về thẩm quyền cấp, điều chỉnh và thu hồi Giấy phép đủ điều kiện kinh doanh dịch vụ karaoke hoặc dịch vụ vũ trường </w:t>
            </w:r>
            <w:bookmarkEnd w:id="1"/>
            <w:r w:rsidRPr="00CA35FA">
              <w:rPr>
                <w:sz w:val="28"/>
                <w:szCs w:val="28"/>
              </w:rPr>
              <w:t xml:space="preserve">quy định: </w:t>
            </w:r>
            <w:r w:rsidRPr="00CA35FA">
              <w:rPr>
                <w:i/>
                <w:iCs/>
                <w:sz w:val="28"/>
                <w:szCs w:val="28"/>
              </w:rPr>
              <w:t>“3. Việc phân cấp, ủy quyền thực hiện thủ tục cấp, điều chỉnh và thu hồi Giấy phép đủ điều kiện kinh doanh theo quy định của pháp luật về tổ chức chính quyền địa phương”</w:t>
            </w:r>
            <w:r w:rsidRPr="00CA35FA">
              <w:rPr>
                <w:sz w:val="28"/>
                <w:szCs w:val="28"/>
              </w:rPr>
              <w:t xml:space="preserve">. </w:t>
            </w:r>
          </w:p>
          <w:p w14:paraId="5CC7D2BF" w14:textId="77777777" w:rsidR="00CA35FA" w:rsidRDefault="00CA35FA" w:rsidP="00A855A1"/>
        </w:tc>
      </w:tr>
      <w:tr w:rsidR="00CA35FA" w14:paraId="7A80FD62" w14:textId="77777777" w:rsidTr="00CA35FA">
        <w:tc>
          <w:tcPr>
            <w:tcW w:w="1129" w:type="dxa"/>
          </w:tcPr>
          <w:p w14:paraId="086CFF3A" w14:textId="77777777" w:rsidR="00CA35FA" w:rsidRDefault="00CA35FA" w:rsidP="00A855A1">
            <w:pPr>
              <w:jc w:val="both"/>
            </w:pPr>
          </w:p>
        </w:tc>
        <w:tc>
          <w:tcPr>
            <w:tcW w:w="3686" w:type="dxa"/>
          </w:tcPr>
          <w:p w14:paraId="37E8BFC2" w14:textId="77777777" w:rsidR="00CA35FA" w:rsidRDefault="00CA35FA" w:rsidP="00CA35FA">
            <w:pPr>
              <w:spacing w:before="120" w:after="120" w:line="320" w:lineRule="exact"/>
              <w:jc w:val="both"/>
              <w:rPr>
                <w:b/>
                <w:bCs/>
                <w:color w:val="212529"/>
                <w:sz w:val="28"/>
                <w:szCs w:val="28"/>
              </w:rPr>
            </w:pPr>
            <w:r w:rsidRPr="00CC5806">
              <w:rPr>
                <w:b/>
                <w:bCs/>
                <w:color w:val="212529"/>
                <w:sz w:val="28"/>
                <w:szCs w:val="28"/>
              </w:rPr>
              <w:t xml:space="preserve">Điều 2. </w:t>
            </w:r>
            <w:r>
              <w:rPr>
                <w:b/>
                <w:bCs/>
                <w:color w:val="212529"/>
                <w:sz w:val="28"/>
                <w:szCs w:val="28"/>
              </w:rPr>
              <w:t>Nguyên tắc phân cấp</w:t>
            </w:r>
          </w:p>
          <w:p w14:paraId="77115768" w14:textId="77777777" w:rsidR="00CA35FA" w:rsidRPr="000B7ED4" w:rsidRDefault="00CA35FA" w:rsidP="00CA35FA">
            <w:pPr>
              <w:tabs>
                <w:tab w:val="right" w:leader="dot" w:pos="8640"/>
              </w:tabs>
              <w:spacing w:before="120" w:after="120" w:line="320" w:lineRule="exact"/>
              <w:jc w:val="both"/>
              <w:rPr>
                <w:sz w:val="28"/>
                <w:szCs w:val="28"/>
                <w:lang w:val="fi-FI"/>
              </w:rPr>
            </w:pPr>
            <w:r>
              <w:rPr>
                <w:sz w:val="28"/>
                <w:szCs w:val="28"/>
                <w:lang w:val="fi-FI"/>
              </w:rPr>
              <w:t>1.</w:t>
            </w:r>
            <w:r w:rsidRPr="000B7ED4">
              <w:rPr>
                <w:sz w:val="28"/>
                <w:szCs w:val="28"/>
                <w:lang w:val="fi-FI"/>
              </w:rPr>
              <w:t xml:space="preserve"> </w:t>
            </w:r>
            <w:r>
              <w:rPr>
                <w:sz w:val="28"/>
                <w:szCs w:val="28"/>
                <w:lang w:val="fi-FI"/>
              </w:rPr>
              <w:t>Việc phân cấp nhằm đ</w:t>
            </w:r>
            <w:r w:rsidRPr="000B7ED4">
              <w:rPr>
                <w:sz w:val="28"/>
                <w:szCs w:val="28"/>
                <w:lang w:val="fi-FI"/>
              </w:rPr>
              <w:t xml:space="preserve">áp ứng yêu cầu đơn giản hóa thủ tục hành chính và đảo bảm sự quản lý thống nhất, toàn diện, hiệu lực, hiệu quả trong quản lý Nhà nước; đồng thời, đảm bảo tính liên tục trong công tác </w:t>
            </w:r>
            <w:r w:rsidRPr="000B7ED4">
              <w:rPr>
                <w:sz w:val="28"/>
                <w:szCs w:val="28"/>
                <w:lang w:val="vi-VN"/>
              </w:rPr>
              <w:t>cấp</w:t>
            </w:r>
            <w:r w:rsidRPr="000B7ED4">
              <w:rPr>
                <w:sz w:val="28"/>
                <w:szCs w:val="28"/>
              </w:rPr>
              <w:t xml:space="preserve">, điều chỉnh, thu hồi </w:t>
            </w:r>
            <w:r w:rsidRPr="000B7ED4">
              <w:rPr>
                <w:sz w:val="28"/>
                <w:szCs w:val="28"/>
                <w:lang w:val="fi-FI"/>
              </w:rPr>
              <w:t>Giấy phép kinh doanh dịch vụ karaoke, dịch vụ vũ trường trên địa bàn tỉnh.</w:t>
            </w:r>
          </w:p>
          <w:p w14:paraId="6F531A21" w14:textId="77777777" w:rsidR="00CA35FA" w:rsidRPr="000B7ED4" w:rsidRDefault="00CA35FA" w:rsidP="00CA35FA">
            <w:pPr>
              <w:tabs>
                <w:tab w:val="right" w:leader="dot" w:pos="8640"/>
              </w:tabs>
              <w:spacing w:before="120" w:after="120" w:line="320" w:lineRule="exact"/>
              <w:jc w:val="both"/>
              <w:rPr>
                <w:sz w:val="28"/>
                <w:szCs w:val="28"/>
                <w:lang w:val="fi-FI"/>
              </w:rPr>
            </w:pPr>
            <w:r>
              <w:rPr>
                <w:sz w:val="28"/>
                <w:szCs w:val="28"/>
                <w:lang w:val="fi-FI"/>
              </w:rPr>
              <w:t>2.</w:t>
            </w:r>
            <w:r w:rsidRPr="000B7ED4">
              <w:rPr>
                <w:sz w:val="28"/>
                <w:szCs w:val="28"/>
                <w:lang w:val="fi-FI"/>
              </w:rPr>
              <w:t xml:space="preserve">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w:t>
            </w:r>
            <w:r w:rsidRPr="000B7ED4">
              <w:rPr>
                <w:sz w:val="28"/>
                <w:szCs w:val="28"/>
                <w:shd w:val="clear" w:color="auto" w:fill="FFFFFF"/>
              </w:rPr>
              <w:t xml:space="preserve">tự bảo </w:t>
            </w:r>
            <w:r w:rsidRPr="000B7ED4">
              <w:rPr>
                <w:sz w:val="28"/>
                <w:szCs w:val="28"/>
                <w:shd w:val="clear" w:color="auto" w:fill="FFFFFF"/>
              </w:rPr>
              <w:lastRenderedPageBreak/>
              <w:t>đảm điều kiện thực hiện nhiệm vụ, quyền hạn được phân cấp.</w:t>
            </w:r>
          </w:p>
          <w:p w14:paraId="5887FF9A" w14:textId="52C3B3BF" w:rsidR="00CA35FA" w:rsidRPr="00CA35FA" w:rsidRDefault="00CA35FA" w:rsidP="00CA35FA">
            <w:pPr>
              <w:spacing w:before="120" w:after="120" w:line="320" w:lineRule="exact"/>
              <w:jc w:val="both"/>
              <w:rPr>
                <w:sz w:val="28"/>
                <w:szCs w:val="28"/>
                <w:lang w:val="fi-FI"/>
              </w:rPr>
            </w:pPr>
            <w:r>
              <w:rPr>
                <w:sz w:val="28"/>
                <w:szCs w:val="28"/>
              </w:rPr>
              <w:t>3.</w:t>
            </w:r>
            <w:r w:rsidRPr="000B7ED4">
              <w:rPr>
                <w:sz w:val="28"/>
                <w:szCs w:val="28"/>
              </w:rPr>
              <w:t xml:space="preserve"> Tuân thủ các quy định </w:t>
            </w:r>
            <w:r w:rsidRPr="000B7ED4">
              <w:rPr>
                <w:sz w:val="28"/>
                <w:szCs w:val="28"/>
                <w:lang w:val="fi-FI"/>
              </w:rPr>
              <w:t xml:space="preserve">của </w:t>
            </w:r>
            <w:r w:rsidRPr="000B7ED4">
              <w:rPr>
                <w:sz w:val="28"/>
                <w:szCs w:val="28"/>
              </w:rPr>
              <w:t xml:space="preserve">Nghị định số 54/2019/NĐ-CP ngày 19 tháng 6 năm 2019 </w:t>
            </w:r>
            <w:r w:rsidRPr="000B7ED4">
              <w:rPr>
                <w:sz w:val="28"/>
                <w:szCs w:val="28"/>
                <w:lang w:val="fi-FI"/>
              </w:rPr>
              <w:t xml:space="preserve">và </w:t>
            </w:r>
            <w:r w:rsidRPr="000B7ED4">
              <w:rPr>
                <w:sz w:val="28"/>
                <w:szCs w:val="28"/>
              </w:rPr>
              <w:t>Nghị định số 148/2024/NĐ-CP ngày 12 tháng 11 năm 2024 và các quy định pháp luật khác liên quan.</w:t>
            </w:r>
          </w:p>
        </w:tc>
        <w:tc>
          <w:tcPr>
            <w:tcW w:w="4111" w:type="dxa"/>
          </w:tcPr>
          <w:p w14:paraId="7465A53D" w14:textId="1F1B985D" w:rsidR="00CA35FA" w:rsidRDefault="00CA35FA" w:rsidP="000911D6">
            <w:pPr>
              <w:jc w:val="both"/>
            </w:pPr>
            <w:r>
              <w:lastRenderedPageBreak/>
              <w:t>Quy định nhằm xác lập các nguyên tắc cơ bản làm cơ sở cho việc tổ chức, quản lý hoạt động phát hành, phổ biến phim phục vụ nhiệm vụ chính trị. Các nguyên tắc này bảo đảm: Quyền tiếp cận</w:t>
            </w:r>
            <w:r w:rsidR="000911D6">
              <w:t xml:space="preserve"> </w:t>
            </w:r>
            <w:r>
              <w:t>công bằng của</w:t>
            </w:r>
            <w:r w:rsidR="000911D6">
              <w:t xml:space="preserve"> </w:t>
            </w:r>
            <w:r>
              <w:t>Nhân dân; hiệu</w:t>
            </w:r>
            <w:r w:rsidR="000911D6">
              <w:t xml:space="preserve"> </w:t>
            </w:r>
            <w:r>
              <w:t>quả sử dụng ngân</w:t>
            </w:r>
            <w:r w:rsidR="000911D6">
              <w:t xml:space="preserve"> </w:t>
            </w:r>
            <w:r>
              <w:t>sách nhà nước;</w:t>
            </w:r>
            <w:r w:rsidR="000911D6">
              <w:t xml:space="preserve"> </w:t>
            </w:r>
            <w:r>
              <w:t>tuân thủ pháp luật</w:t>
            </w:r>
            <w:r w:rsidR="000911D6">
              <w:t xml:space="preserve"> </w:t>
            </w:r>
            <w:r>
              <w:t>về</w:t>
            </w:r>
            <w:r w:rsidR="000911D6">
              <w:t xml:space="preserve"> </w:t>
            </w:r>
            <w:r>
              <w:t>sở hữu trí tuệ;</w:t>
            </w:r>
            <w:r w:rsidR="000911D6">
              <w:t xml:space="preserve"> </w:t>
            </w:r>
            <w:r>
              <w:t>phân định rõ giữa</w:t>
            </w:r>
            <w:r w:rsidR="000911D6">
              <w:t xml:space="preserve"> </w:t>
            </w:r>
            <w:r>
              <w:t>hoạt động không</w:t>
            </w:r>
            <w:r w:rsidR="000911D6">
              <w:t xml:space="preserve"> </w:t>
            </w:r>
            <w:r>
              <w:t>kinh doanh và có</w:t>
            </w:r>
            <w:r w:rsidR="000911D6">
              <w:t xml:space="preserve"> </w:t>
            </w:r>
            <w:r>
              <w:t>doanh thu; đồng</w:t>
            </w:r>
            <w:r w:rsidR="000911D6">
              <w:t xml:space="preserve"> </w:t>
            </w:r>
            <w:r>
              <w:t>thời khuyến khích</w:t>
            </w:r>
            <w:r w:rsidR="000911D6">
              <w:t xml:space="preserve"> </w:t>
            </w:r>
            <w:r>
              <w:t>xã hội hóa thông</w:t>
            </w:r>
            <w:r w:rsidR="000911D6">
              <w:t xml:space="preserve"> </w:t>
            </w:r>
            <w:r>
              <w:t>qua cơ chế phát</w:t>
            </w:r>
            <w:r w:rsidR="000911D6">
              <w:t xml:space="preserve"> </w:t>
            </w:r>
            <w:r>
              <w:t>hành, phổ biến</w:t>
            </w:r>
            <w:r w:rsidR="000911D6">
              <w:t xml:space="preserve"> </w:t>
            </w:r>
            <w:r>
              <w:t>phim có yếu tố</w:t>
            </w:r>
            <w:r w:rsidR="000911D6">
              <w:t xml:space="preserve"> </w:t>
            </w:r>
            <w:r>
              <w:t>kinh doan</w:t>
            </w:r>
            <w:r w:rsidR="000911D6">
              <w:t>h.</w:t>
            </w:r>
          </w:p>
        </w:tc>
      </w:tr>
      <w:tr w:rsidR="00CA35FA" w14:paraId="09851710" w14:textId="77777777" w:rsidTr="00CA35FA">
        <w:tc>
          <w:tcPr>
            <w:tcW w:w="1129" w:type="dxa"/>
          </w:tcPr>
          <w:p w14:paraId="5D4FC679" w14:textId="77777777" w:rsidR="00CA35FA" w:rsidRDefault="00CA35FA" w:rsidP="00A855A1">
            <w:pPr>
              <w:jc w:val="both"/>
            </w:pPr>
          </w:p>
        </w:tc>
        <w:tc>
          <w:tcPr>
            <w:tcW w:w="3686" w:type="dxa"/>
          </w:tcPr>
          <w:p w14:paraId="48B3232F" w14:textId="77777777" w:rsidR="00CA35FA" w:rsidRDefault="00CA35FA" w:rsidP="00CA35FA">
            <w:pPr>
              <w:spacing w:before="120" w:after="120" w:line="320" w:lineRule="exact"/>
              <w:jc w:val="both"/>
              <w:rPr>
                <w:b/>
                <w:bCs/>
                <w:color w:val="212529"/>
                <w:sz w:val="28"/>
                <w:szCs w:val="28"/>
              </w:rPr>
            </w:pPr>
            <w:r>
              <w:rPr>
                <w:b/>
                <w:bCs/>
                <w:color w:val="212529"/>
                <w:sz w:val="28"/>
                <w:szCs w:val="28"/>
              </w:rPr>
              <w:t>Điều 3. Nội dung phân cấp</w:t>
            </w:r>
          </w:p>
          <w:p w14:paraId="587E01C6" w14:textId="595FFEED" w:rsidR="00CA35FA" w:rsidRPr="00CA35FA" w:rsidRDefault="00CA35FA" w:rsidP="00CA35FA">
            <w:pPr>
              <w:shd w:val="clear" w:color="auto" w:fill="FFFFFF"/>
              <w:spacing w:before="120" w:after="120" w:line="320" w:lineRule="exact"/>
              <w:jc w:val="both"/>
              <w:rPr>
                <w:sz w:val="28"/>
                <w:szCs w:val="28"/>
              </w:rPr>
            </w:pPr>
            <w:r w:rsidRPr="000B7ED4">
              <w:rPr>
                <w:sz w:val="28"/>
                <w:szCs w:val="28"/>
              </w:rPr>
              <w:t xml:space="preserve">Phân cấp cho </w:t>
            </w:r>
            <w:r>
              <w:rPr>
                <w:b/>
                <w:bCs/>
                <w:color w:val="000000"/>
                <w:sz w:val="28"/>
                <w:szCs w:val="28"/>
              </w:rPr>
              <w:t xml:space="preserve">Ủy ban nhân dân cấp xã </w:t>
            </w:r>
            <w:r w:rsidRPr="000B7ED4">
              <w:rPr>
                <w:sz w:val="28"/>
                <w:szCs w:val="28"/>
              </w:rPr>
              <w:t>thẩm quyền cấp, điều chỉnh và thu hồi Giấy phép đủ điều kiện kinh doanh dịch vụ karaoke, dịch vụ vũ trường trên địa bàn tỉnh Đồng Nai.</w:t>
            </w:r>
          </w:p>
        </w:tc>
        <w:tc>
          <w:tcPr>
            <w:tcW w:w="4111" w:type="dxa"/>
          </w:tcPr>
          <w:p w14:paraId="7516DF65" w14:textId="1E00522F" w:rsidR="00CA35FA" w:rsidRDefault="000911D6" w:rsidP="000911D6">
            <w:pPr>
              <w:jc w:val="both"/>
            </w:pPr>
            <w:r>
              <w:t>Nội dung này phù hợp với chủ trương chỉ đạo của Chủ tịch UBND tỉnh.</w:t>
            </w:r>
          </w:p>
        </w:tc>
      </w:tr>
      <w:tr w:rsidR="00CA35FA" w14:paraId="45030C93" w14:textId="77777777" w:rsidTr="00CA35FA">
        <w:tc>
          <w:tcPr>
            <w:tcW w:w="1129" w:type="dxa"/>
          </w:tcPr>
          <w:p w14:paraId="024D1ECD" w14:textId="77777777" w:rsidR="00CA35FA" w:rsidRDefault="00CA35FA" w:rsidP="00A855A1">
            <w:pPr>
              <w:jc w:val="both"/>
            </w:pPr>
          </w:p>
        </w:tc>
        <w:tc>
          <w:tcPr>
            <w:tcW w:w="3686" w:type="dxa"/>
          </w:tcPr>
          <w:p w14:paraId="32481F74" w14:textId="77777777" w:rsidR="00CA35FA" w:rsidRDefault="00CA35FA" w:rsidP="00CA35FA">
            <w:pPr>
              <w:spacing w:before="120" w:after="120" w:line="320" w:lineRule="exact"/>
              <w:jc w:val="both"/>
              <w:rPr>
                <w:b/>
                <w:bCs/>
                <w:color w:val="212529"/>
                <w:sz w:val="28"/>
                <w:szCs w:val="28"/>
              </w:rPr>
            </w:pPr>
            <w:r w:rsidRPr="00CC5806">
              <w:rPr>
                <w:b/>
                <w:bCs/>
                <w:color w:val="212529"/>
                <w:sz w:val="28"/>
                <w:szCs w:val="28"/>
              </w:rPr>
              <w:t xml:space="preserve">Điều </w:t>
            </w:r>
            <w:r>
              <w:rPr>
                <w:b/>
                <w:bCs/>
                <w:color w:val="212529"/>
                <w:sz w:val="28"/>
                <w:szCs w:val="28"/>
              </w:rPr>
              <w:t>4</w:t>
            </w:r>
            <w:r w:rsidRPr="00CC5806">
              <w:rPr>
                <w:b/>
                <w:bCs/>
                <w:color w:val="212529"/>
                <w:sz w:val="28"/>
                <w:szCs w:val="28"/>
              </w:rPr>
              <w:t xml:space="preserve">. Trách nhiệm </w:t>
            </w:r>
            <w:r>
              <w:rPr>
                <w:b/>
                <w:bCs/>
                <w:color w:val="212529"/>
                <w:sz w:val="28"/>
                <w:szCs w:val="28"/>
              </w:rPr>
              <w:t xml:space="preserve">của </w:t>
            </w:r>
            <w:r>
              <w:rPr>
                <w:b/>
                <w:bCs/>
                <w:color w:val="000000"/>
                <w:sz w:val="28"/>
                <w:szCs w:val="28"/>
              </w:rPr>
              <w:t>Ủy ban nhân dân cấp xã</w:t>
            </w:r>
          </w:p>
          <w:p w14:paraId="13EB6B47" w14:textId="77777777" w:rsidR="00CA35FA" w:rsidRDefault="00CA35FA" w:rsidP="00CA35FA">
            <w:pPr>
              <w:spacing w:before="120" w:after="120" w:line="320" w:lineRule="exact"/>
              <w:jc w:val="both"/>
              <w:rPr>
                <w:sz w:val="28"/>
                <w:szCs w:val="28"/>
              </w:rPr>
            </w:pPr>
            <w:r w:rsidRPr="000B7ED4">
              <w:rPr>
                <w:color w:val="212529"/>
                <w:sz w:val="28"/>
                <w:szCs w:val="28"/>
              </w:rPr>
              <w:t>1.</w:t>
            </w:r>
            <w:r>
              <w:rPr>
                <w:color w:val="212529"/>
                <w:sz w:val="28"/>
                <w:szCs w:val="28"/>
              </w:rPr>
              <w:t xml:space="preserve"> Chịu trách nhiệm trước pháp luật và Ủy ban nhân dân tỉnh về việc thực hiện nhiệm vụ, quyền hạn được phân cấp; thực hiện đúng trình tự, thủ tục, thẩm quyền, thời hạn theo quy định tại </w:t>
            </w:r>
            <w:r w:rsidRPr="000B7ED4">
              <w:rPr>
                <w:sz w:val="28"/>
                <w:szCs w:val="28"/>
              </w:rPr>
              <w:t xml:space="preserve">Nghị định số 54/2019/NĐ-CP ngày 19 tháng 6 năm 2019 </w:t>
            </w:r>
            <w:r w:rsidRPr="000B7ED4">
              <w:rPr>
                <w:sz w:val="28"/>
                <w:szCs w:val="28"/>
                <w:lang w:val="fi-FI"/>
              </w:rPr>
              <w:t xml:space="preserve">và </w:t>
            </w:r>
            <w:r w:rsidRPr="000B7ED4">
              <w:rPr>
                <w:sz w:val="28"/>
                <w:szCs w:val="28"/>
              </w:rPr>
              <w:t xml:space="preserve">Nghị định số 148/2024/NĐ-CP ngày 12 tháng 11 năm 2024 </w:t>
            </w:r>
            <w:r>
              <w:rPr>
                <w:sz w:val="28"/>
                <w:szCs w:val="28"/>
              </w:rPr>
              <w:t>đối với nội dung được phân cấp.</w:t>
            </w:r>
          </w:p>
          <w:p w14:paraId="63A34DE7" w14:textId="2B1C5387" w:rsidR="00CA35FA" w:rsidRPr="00CA35FA" w:rsidRDefault="00CA35FA" w:rsidP="00CA35FA">
            <w:pPr>
              <w:spacing w:before="120" w:after="120" w:line="320" w:lineRule="exact"/>
              <w:jc w:val="both"/>
              <w:rPr>
                <w:color w:val="212529"/>
                <w:sz w:val="28"/>
                <w:szCs w:val="28"/>
              </w:rPr>
            </w:pPr>
            <w:r>
              <w:rPr>
                <w:color w:val="212529"/>
                <w:sz w:val="28"/>
                <w:szCs w:val="28"/>
              </w:rPr>
              <w:t>2. Định kỳ hằng năm hoặc đột xuất báo cáo Ủy ban nhân dân tỉnh về kết quả thực hiện phân cấp. Trong quá trình thực hiện, nếu có vấn đề phát sinh đột xuất thì kịp thời báo cáo Ủy ban nhân dân tỉnh để xin ý kiến chỉ đạo.</w:t>
            </w:r>
          </w:p>
        </w:tc>
        <w:tc>
          <w:tcPr>
            <w:tcW w:w="4111" w:type="dxa"/>
          </w:tcPr>
          <w:p w14:paraId="0AF06FF0" w14:textId="0949F62C" w:rsidR="00CA35FA" w:rsidRDefault="000911D6" w:rsidP="000911D6">
            <w:pPr>
              <w:jc w:val="both"/>
            </w:pPr>
            <w:r>
              <w:t>Quy định này nhằm phân định trách nhiệm rõ ràng, bảo đảm sự phối hợp đồng bộ và hiệu quả trong tổ chức thực hiện.</w:t>
            </w:r>
          </w:p>
        </w:tc>
      </w:tr>
      <w:tr w:rsidR="00CA35FA" w14:paraId="57A5DE0C" w14:textId="77777777" w:rsidTr="00CA35FA">
        <w:tc>
          <w:tcPr>
            <w:tcW w:w="1129" w:type="dxa"/>
          </w:tcPr>
          <w:p w14:paraId="4D1C36EB" w14:textId="77777777" w:rsidR="00CA35FA" w:rsidRDefault="00CA35FA" w:rsidP="00A855A1">
            <w:pPr>
              <w:jc w:val="both"/>
            </w:pPr>
          </w:p>
        </w:tc>
        <w:tc>
          <w:tcPr>
            <w:tcW w:w="3686" w:type="dxa"/>
          </w:tcPr>
          <w:p w14:paraId="682C1AFB" w14:textId="77777777" w:rsidR="00CA35FA" w:rsidRPr="003E0B1A" w:rsidRDefault="00CA35FA" w:rsidP="00CA35FA">
            <w:pPr>
              <w:spacing w:before="120" w:after="120" w:line="320" w:lineRule="exact"/>
              <w:jc w:val="both"/>
              <w:rPr>
                <w:b/>
                <w:bCs/>
                <w:color w:val="212529"/>
                <w:sz w:val="28"/>
                <w:szCs w:val="28"/>
              </w:rPr>
            </w:pPr>
            <w:r w:rsidRPr="003E0B1A">
              <w:rPr>
                <w:b/>
                <w:bCs/>
                <w:color w:val="212529"/>
                <w:sz w:val="28"/>
                <w:szCs w:val="28"/>
              </w:rPr>
              <w:t>Điều 5. Hiệu lực thi hành</w:t>
            </w:r>
          </w:p>
          <w:p w14:paraId="7F13F622" w14:textId="77777777" w:rsidR="00CA35FA" w:rsidRPr="00614C57" w:rsidRDefault="00CA35FA" w:rsidP="00CA35FA">
            <w:pPr>
              <w:spacing w:before="120" w:after="120" w:line="320" w:lineRule="exact"/>
              <w:jc w:val="both"/>
              <w:rPr>
                <w:sz w:val="28"/>
                <w:szCs w:val="28"/>
              </w:rPr>
            </w:pPr>
            <w:r w:rsidRPr="00614C57">
              <w:rPr>
                <w:sz w:val="28"/>
                <w:szCs w:val="28"/>
              </w:rPr>
              <w:lastRenderedPageBreak/>
              <w:t>1. Quyết định này có hiệu lực kể từ ngày … tháng … năm 2025.</w:t>
            </w:r>
          </w:p>
          <w:p w14:paraId="4E73A5C5" w14:textId="78BD2C12" w:rsidR="00CA35FA" w:rsidRPr="00CA35FA" w:rsidRDefault="00CA35FA" w:rsidP="00CA35FA">
            <w:pPr>
              <w:spacing w:before="120" w:after="120" w:line="320" w:lineRule="exact"/>
              <w:jc w:val="both"/>
              <w:rPr>
                <w:color w:val="212529"/>
                <w:sz w:val="28"/>
                <w:szCs w:val="28"/>
              </w:rPr>
            </w:pPr>
            <w:r>
              <w:rPr>
                <w:sz w:val="28"/>
                <w:szCs w:val="28"/>
              </w:rPr>
              <w:t xml:space="preserve">2. Chánh Văn phòng Ủy ban nhân dân tỉnh, , Chủ tịch </w:t>
            </w:r>
            <w:r>
              <w:rPr>
                <w:b/>
                <w:bCs/>
                <w:color w:val="000000"/>
                <w:sz w:val="28"/>
                <w:szCs w:val="28"/>
              </w:rPr>
              <w:t xml:space="preserve">Ủy ban nhân dân cấp xã, </w:t>
            </w:r>
            <w:r>
              <w:rPr>
                <w:sz w:val="28"/>
                <w:szCs w:val="28"/>
              </w:rPr>
              <w:t>Giám đốc Sở Văn hóa, Thể thao và Du lịch, Thủ trưởng các cơ quan, tổ chức và cá nhân có liên quan chịu trách nhiệm thi hành Quyết định này./.</w:t>
            </w:r>
          </w:p>
        </w:tc>
        <w:tc>
          <w:tcPr>
            <w:tcW w:w="4111" w:type="dxa"/>
          </w:tcPr>
          <w:p w14:paraId="271DFDE9" w14:textId="2C14E6CA" w:rsidR="000911D6" w:rsidRDefault="000911D6" w:rsidP="000911D6">
            <w:r>
              <w:lastRenderedPageBreak/>
              <w:t>Quy định này bảo đảm tính rõ ràng</w:t>
            </w:r>
          </w:p>
          <w:p w14:paraId="2F2E47FF" w14:textId="04E68882" w:rsidR="000911D6" w:rsidRDefault="000911D6" w:rsidP="000911D6">
            <w:r>
              <w:t>về thời điểm hiệu lực và tính liên</w:t>
            </w:r>
          </w:p>
          <w:p w14:paraId="45AB4C96" w14:textId="3B57148E" w:rsidR="00CA35FA" w:rsidRDefault="000911D6" w:rsidP="000911D6">
            <w:r>
              <w:t>thông pháp lý của Nghị định.</w:t>
            </w:r>
          </w:p>
        </w:tc>
      </w:tr>
    </w:tbl>
    <w:p w14:paraId="5654F30B" w14:textId="096AB5F1" w:rsidR="00392522" w:rsidRDefault="00CA35FA" w:rsidP="00CA35FA">
      <w:pPr>
        <w:spacing w:before="120" w:after="120" w:line="340" w:lineRule="exact"/>
        <w:ind w:firstLine="720"/>
        <w:jc w:val="both"/>
      </w:pPr>
      <w:r>
        <w:tab/>
      </w:r>
    </w:p>
    <w:sectPr w:rsidR="00392522" w:rsidSect="00661E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FA"/>
    <w:rsid w:val="00082660"/>
    <w:rsid w:val="000911D6"/>
    <w:rsid w:val="00392522"/>
    <w:rsid w:val="0086370B"/>
    <w:rsid w:val="00912823"/>
    <w:rsid w:val="00CA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4ED"/>
  <w15:chartTrackingRefBased/>
  <w15:docId w15:val="{3E773F1C-CBBC-48D5-8FAE-081AE99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CA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6837">
      <w:bodyDiv w:val="1"/>
      <w:marLeft w:val="0"/>
      <w:marRight w:val="0"/>
      <w:marTop w:val="0"/>
      <w:marBottom w:val="0"/>
      <w:divBdr>
        <w:top w:val="none" w:sz="0" w:space="0" w:color="auto"/>
        <w:left w:val="none" w:sz="0" w:space="0" w:color="auto"/>
        <w:bottom w:val="none" w:sz="0" w:space="0" w:color="auto"/>
        <w:right w:val="none" w:sz="0" w:space="0" w:color="auto"/>
      </w:divBdr>
    </w:div>
    <w:div w:id="12014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5</cp:revision>
  <dcterms:created xsi:type="dcterms:W3CDTF">2025-08-06T08:19:00Z</dcterms:created>
  <dcterms:modified xsi:type="dcterms:W3CDTF">2025-12-29T03:12:00Z</dcterms:modified>
</cp:coreProperties>
</file>