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51" w:type="dxa"/>
        <w:tblInd w:w="-34" w:type="dxa"/>
        <w:tblLayout w:type="fixed"/>
        <w:tblLook w:val="0000" w:firstRow="0" w:lastRow="0" w:firstColumn="0" w:lastColumn="0" w:noHBand="0" w:noVBand="0"/>
      </w:tblPr>
      <w:tblGrid>
        <w:gridCol w:w="7122"/>
        <w:gridCol w:w="7229"/>
      </w:tblGrid>
      <w:tr w:rsidR="00135B8A" w:rsidRPr="008C44BD" w:rsidTr="00135B8A">
        <w:tc>
          <w:tcPr>
            <w:tcW w:w="7122" w:type="dxa"/>
          </w:tcPr>
          <w:p w:rsidR="00135B8A" w:rsidRPr="008C44BD" w:rsidRDefault="00135B8A" w:rsidP="0079261B">
            <w:pPr>
              <w:widowControl w:val="0"/>
              <w:tabs>
                <w:tab w:val="center" w:pos="1843"/>
                <w:tab w:val="center" w:pos="6237"/>
              </w:tabs>
              <w:spacing w:before="60"/>
              <w:jc w:val="center"/>
            </w:pPr>
            <w:r w:rsidRPr="008C44BD">
              <w:t>UBND TỈNH ĐỒNG NAI</w:t>
            </w:r>
          </w:p>
          <w:p w:rsidR="00135B8A" w:rsidRPr="008C44BD" w:rsidRDefault="00135B8A" w:rsidP="0079261B">
            <w:pPr>
              <w:widowControl w:val="0"/>
              <w:tabs>
                <w:tab w:val="center" w:pos="1843"/>
                <w:tab w:val="center" w:pos="6237"/>
              </w:tabs>
              <w:jc w:val="center"/>
            </w:pPr>
            <w:r w:rsidRPr="008C44BD">
              <w:rPr>
                <w:b/>
              </w:rPr>
              <w:t>SỞ TÀI CHÍNH</w:t>
            </w:r>
          </w:p>
          <w:p w:rsidR="00135B8A" w:rsidRPr="008C44BD" w:rsidRDefault="00135B8A" w:rsidP="0079261B">
            <w:pPr>
              <w:widowControl w:val="0"/>
              <w:tabs>
                <w:tab w:val="center" w:pos="1843"/>
                <w:tab w:val="center" w:pos="6237"/>
              </w:tabs>
              <w:jc w:val="center"/>
            </w:pPr>
            <w:r w:rsidRPr="008C44BD">
              <w:t>–––––––––</w:t>
            </w:r>
          </w:p>
          <w:p w:rsidR="00135B8A" w:rsidRPr="008C44BD" w:rsidRDefault="00135B8A" w:rsidP="0079261B">
            <w:pPr>
              <w:widowControl w:val="0"/>
              <w:tabs>
                <w:tab w:val="center" w:pos="1843"/>
                <w:tab w:val="center" w:pos="6237"/>
              </w:tabs>
              <w:jc w:val="center"/>
            </w:pPr>
          </w:p>
        </w:tc>
        <w:tc>
          <w:tcPr>
            <w:tcW w:w="7229" w:type="dxa"/>
          </w:tcPr>
          <w:p w:rsidR="00135B8A" w:rsidRPr="008C44BD" w:rsidRDefault="00135B8A" w:rsidP="0079261B">
            <w:pPr>
              <w:widowControl w:val="0"/>
              <w:jc w:val="center"/>
              <w:rPr>
                <w:b/>
              </w:rPr>
            </w:pPr>
            <w:r w:rsidRPr="008C44BD">
              <w:rPr>
                <w:b/>
              </w:rPr>
              <w:t>CỘNG HÒA XÃ HỘI CHỦ NGHĨA VIỆT NAM</w:t>
            </w:r>
          </w:p>
          <w:p w:rsidR="00135B8A" w:rsidRPr="008C44BD" w:rsidRDefault="00135B8A" w:rsidP="0079261B">
            <w:pPr>
              <w:widowControl w:val="0"/>
              <w:jc w:val="center"/>
              <w:rPr>
                <w:b/>
              </w:rPr>
            </w:pPr>
            <w:r w:rsidRPr="008C44BD">
              <w:rPr>
                <w:b/>
              </w:rPr>
              <w:t>Độc lập - Tự do - Hạnh phúc</w:t>
            </w:r>
          </w:p>
          <w:p w:rsidR="00135B8A" w:rsidRPr="008C44BD" w:rsidRDefault="00135B8A" w:rsidP="0079261B">
            <w:pPr>
              <w:widowControl w:val="0"/>
              <w:tabs>
                <w:tab w:val="center" w:pos="1843"/>
                <w:tab w:val="center" w:pos="6237"/>
              </w:tabs>
              <w:jc w:val="center"/>
              <w:rPr>
                <w:b/>
              </w:rPr>
            </w:pPr>
            <w:r w:rsidRPr="008C44BD">
              <w:t>––––––––––––––––––</w:t>
            </w:r>
          </w:p>
          <w:p w:rsidR="00135B8A" w:rsidRPr="008C44BD" w:rsidRDefault="00135B8A" w:rsidP="0079261B">
            <w:pPr>
              <w:widowControl w:val="0"/>
              <w:tabs>
                <w:tab w:val="center" w:pos="1843"/>
                <w:tab w:val="center" w:pos="6237"/>
              </w:tabs>
              <w:spacing w:before="60" w:after="60"/>
              <w:jc w:val="center"/>
              <w:rPr>
                <w:b/>
              </w:rPr>
            </w:pPr>
            <w:r w:rsidRPr="008C44BD">
              <w:rPr>
                <w:b/>
              </w:rPr>
              <w:softHyphen/>
            </w:r>
            <w:r w:rsidRPr="008C44BD">
              <w:rPr>
                <w:b/>
              </w:rPr>
              <w:softHyphen/>
            </w:r>
            <w:r w:rsidRPr="008C44BD">
              <w:rPr>
                <w:i/>
              </w:rPr>
              <w:t xml:space="preserve">Đồng Nai, ngày  </w:t>
            </w:r>
            <w:r w:rsidRPr="008C44BD">
              <w:rPr>
                <w:i/>
                <w:color w:val="F2F2F2"/>
              </w:rPr>
              <w:t>[ng]</w:t>
            </w:r>
            <w:r w:rsidRPr="008C44BD">
              <w:rPr>
                <w:i/>
              </w:rPr>
              <w:t xml:space="preserve"> tháng </w:t>
            </w:r>
            <w:r w:rsidRPr="008C44BD">
              <w:rPr>
                <w:i/>
                <w:color w:val="F2F2F2"/>
              </w:rPr>
              <w:t>[th]</w:t>
            </w:r>
            <w:r w:rsidRPr="008C44BD">
              <w:rPr>
                <w:i/>
              </w:rPr>
              <w:t xml:space="preserve"> năm 2025</w:t>
            </w:r>
          </w:p>
        </w:tc>
      </w:tr>
    </w:tbl>
    <w:p w:rsidR="00D86025" w:rsidRPr="00135B8A" w:rsidRDefault="00135B8A" w:rsidP="0079261B">
      <w:pPr>
        <w:widowControl w:val="0"/>
        <w:tabs>
          <w:tab w:val="center" w:pos="1843"/>
          <w:tab w:val="center" w:pos="6237"/>
        </w:tabs>
        <w:spacing w:before="360" w:after="240"/>
        <w:jc w:val="center"/>
        <w:rPr>
          <w:b/>
        </w:rPr>
      </w:pPr>
      <w:r w:rsidRPr="00135B8A">
        <w:rPr>
          <w:b/>
        </w:rPr>
        <w:t xml:space="preserve">BẢN SO SÁNH, THUYẾT MINH NỘI DUNG DỰ THẢO QUYẾT ĐỊNH </w:t>
      </w:r>
      <w:r w:rsidR="004D1B89" w:rsidRPr="004D1B89">
        <w:rPr>
          <w:b/>
        </w:rPr>
        <w:t xml:space="preserve">BAN HÀNH </w:t>
      </w:r>
      <w:r w:rsidR="006529D1" w:rsidRPr="006529D1">
        <w:rPr>
          <w:b/>
        </w:rPr>
        <w:t>BẢNG GIÁ TÍNH THUẾ TÀI NGUYÊN ĐỐI VỚI NHÓM, LOẠI TÀI NGUYÊN CÓ TÍNH CHẤT LÝ, HÓA GIỐNG NHAU TRÊN ĐỊA BÀN TỈNH ĐỒNG NAI NĂM 2026</w:t>
      </w:r>
    </w:p>
    <w:tbl>
      <w:tblPr>
        <w:tblStyle w:val="TableGrid"/>
        <w:tblW w:w="14334" w:type="dxa"/>
        <w:tblLayout w:type="fixed"/>
        <w:tblLook w:val="04A0" w:firstRow="1" w:lastRow="0" w:firstColumn="1" w:lastColumn="0" w:noHBand="0" w:noVBand="1"/>
      </w:tblPr>
      <w:tblGrid>
        <w:gridCol w:w="5807"/>
        <w:gridCol w:w="5801"/>
        <w:gridCol w:w="2726"/>
      </w:tblGrid>
      <w:tr w:rsidR="004D1B89" w:rsidRPr="00135B8A" w:rsidTr="00911FAC">
        <w:trPr>
          <w:tblHeader/>
        </w:trPr>
        <w:tc>
          <w:tcPr>
            <w:tcW w:w="5807" w:type="dxa"/>
            <w:vAlign w:val="center"/>
          </w:tcPr>
          <w:p w:rsidR="004D1B89" w:rsidRPr="00135B8A" w:rsidRDefault="00B005DA" w:rsidP="006529D1">
            <w:pPr>
              <w:widowControl w:val="0"/>
              <w:spacing w:before="60" w:after="60"/>
              <w:jc w:val="center"/>
              <w:rPr>
                <w:b/>
                <w:sz w:val="22"/>
                <w:szCs w:val="22"/>
              </w:rPr>
            </w:pPr>
            <w:r>
              <w:rPr>
                <w:b/>
                <w:sz w:val="22"/>
                <w:szCs w:val="22"/>
              </w:rPr>
              <w:t>Quyết định số</w:t>
            </w:r>
            <w:r w:rsidR="006529D1" w:rsidRPr="006529D1">
              <w:rPr>
                <w:b/>
                <w:sz w:val="22"/>
                <w:szCs w:val="22"/>
              </w:rPr>
              <w:t xml:space="preserve"> 25/2025/QĐ-UBND</w:t>
            </w:r>
            <w:r w:rsidR="006329D8">
              <w:rPr>
                <w:b/>
                <w:sz w:val="22"/>
                <w:szCs w:val="22"/>
              </w:rPr>
              <w:t xml:space="preserve"> ngày 18/3</w:t>
            </w:r>
            <w:r w:rsidR="006529D1">
              <w:rPr>
                <w:b/>
                <w:sz w:val="22"/>
                <w:szCs w:val="22"/>
              </w:rPr>
              <w:t>/2025</w:t>
            </w:r>
          </w:p>
        </w:tc>
        <w:tc>
          <w:tcPr>
            <w:tcW w:w="5801" w:type="dxa"/>
            <w:vAlign w:val="center"/>
          </w:tcPr>
          <w:p w:rsidR="004D1B89" w:rsidRPr="00135B8A" w:rsidRDefault="006329D8" w:rsidP="006329D8">
            <w:pPr>
              <w:widowControl w:val="0"/>
              <w:tabs>
                <w:tab w:val="center" w:pos="1843"/>
              </w:tabs>
              <w:spacing w:before="60" w:after="60"/>
              <w:jc w:val="center"/>
              <w:rPr>
                <w:b/>
                <w:sz w:val="22"/>
                <w:szCs w:val="22"/>
              </w:rPr>
            </w:pPr>
            <w:r>
              <w:rPr>
                <w:b/>
                <w:sz w:val="22"/>
                <w:szCs w:val="22"/>
              </w:rPr>
              <w:t>Dự thảo Quyết định</w:t>
            </w:r>
            <w:r w:rsidR="00E53627">
              <w:rPr>
                <w:b/>
                <w:sz w:val="22"/>
                <w:szCs w:val="22"/>
              </w:rPr>
              <w:t xml:space="preserve"> </w:t>
            </w:r>
            <w:r>
              <w:rPr>
                <w:b/>
                <w:sz w:val="22"/>
                <w:szCs w:val="22"/>
              </w:rPr>
              <w:t>bảng giá năm 2026</w:t>
            </w:r>
          </w:p>
        </w:tc>
        <w:tc>
          <w:tcPr>
            <w:tcW w:w="2726" w:type="dxa"/>
            <w:vAlign w:val="center"/>
          </w:tcPr>
          <w:p w:rsidR="004D1B89" w:rsidRPr="00135B8A" w:rsidRDefault="001E2B9F" w:rsidP="004D1B89">
            <w:pPr>
              <w:widowControl w:val="0"/>
              <w:spacing w:before="60" w:after="60"/>
              <w:jc w:val="center"/>
              <w:rPr>
                <w:b/>
                <w:sz w:val="22"/>
                <w:szCs w:val="22"/>
              </w:rPr>
            </w:pPr>
            <w:r>
              <w:rPr>
                <w:b/>
                <w:sz w:val="22"/>
                <w:szCs w:val="22"/>
              </w:rPr>
              <w:t>Thuyết minh</w:t>
            </w:r>
          </w:p>
        </w:tc>
      </w:tr>
      <w:tr w:rsidR="004D1B89" w:rsidRPr="00135B8A" w:rsidTr="00911FAC">
        <w:tc>
          <w:tcPr>
            <w:tcW w:w="5807" w:type="dxa"/>
          </w:tcPr>
          <w:p w:rsidR="006529D1" w:rsidRPr="006529D1" w:rsidRDefault="006529D1" w:rsidP="006529D1">
            <w:pPr>
              <w:widowControl w:val="0"/>
              <w:tabs>
                <w:tab w:val="center" w:pos="1843"/>
              </w:tabs>
              <w:spacing w:before="60" w:after="60"/>
              <w:jc w:val="both"/>
              <w:rPr>
                <w:b/>
                <w:sz w:val="22"/>
                <w:szCs w:val="22"/>
              </w:rPr>
            </w:pPr>
            <w:r w:rsidRPr="006529D1">
              <w:rPr>
                <w:b/>
                <w:sz w:val="22"/>
                <w:szCs w:val="22"/>
              </w:rPr>
              <w:t>Điều 1. Phạm vi điều chỉnh</w:t>
            </w:r>
          </w:p>
          <w:p w:rsidR="006529D1" w:rsidRPr="006529D1" w:rsidRDefault="006529D1" w:rsidP="006529D1">
            <w:pPr>
              <w:widowControl w:val="0"/>
              <w:tabs>
                <w:tab w:val="center" w:pos="1843"/>
              </w:tabs>
              <w:spacing w:before="60" w:after="60"/>
              <w:jc w:val="both"/>
              <w:rPr>
                <w:sz w:val="22"/>
                <w:szCs w:val="22"/>
              </w:rPr>
            </w:pPr>
            <w:r w:rsidRPr="006529D1">
              <w:rPr>
                <w:sz w:val="22"/>
                <w:szCs w:val="22"/>
              </w:rPr>
              <w:t>1. Quyết định này quy định về Bảng giá tính thuế tài nguyên đối với nhóm, loại tài nguyên có tính chất lý, hóa giống nhau trên địa bàn tỉnh Đồng Nai năm 2025 làm cơ sở để cơ quan thuế tính thuế tài nguyên cho các tổ chức và cá nhân khai thác tài nguyên trên địa bàn tỉnh Đồng Nai.</w:t>
            </w:r>
          </w:p>
          <w:p w:rsidR="004D1B89" w:rsidRPr="006529D1" w:rsidRDefault="006529D1" w:rsidP="006529D1">
            <w:pPr>
              <w:widowControl w:val="0"/>
              <w:tabs>
                <w:tab w:val="center" w:pos="1843"/>
              </w:tabs>
              <w:spacing w:before="60" w:after="60"/>
              <w:jc w:val="both"/>
              <w:rPr>
                <w:sz w:val="22"/>
                <w:szCs w:val="22"/>
              </w:rPr>
            </w:pPr>
            <w:r w:rsidRPr="006529D1">
              <w:rPr>
                <w:sz w:val="22"/>
                <w:szCs w:val="22"/>
              </w:rPr>
              <w:t xml:space="preserve">2. Các nội dung không được quy định tại Quyết định này thì thực hiện theo Thông tư số 152/2015/TT-BTC ngày 02 tháng 10 năm 2015 của Bộ trưởng Bộ Tài chính hướng dẫn về thuế tài nguyên (được sửa đổi, bổ sung tại Thông tư số 12/2016/TT-BTC ngày 20 tháng 01 năm 2016 của Bộ trưởng Bộ Tài chính, Thông tư số 174/2016/TT-BTC ngày 28 tháng 10 năm 2016 của Bộ trưởng Bộ Tài chính và Thông tư số 41/2024/TT-BTC ngày 20 tháng 5 năm 2024 của Bộ trưởng Bộ Tài chính); Thông tư số 44/2017/TT-BTC ngày 12 tháng 5 năm 2017 của Bộ trưởng Bộ Tài chính quy định về khung giá tính thuế tài nguyên đối với nhóm, loại tài nguyên có tính chất lý, hóa giống nhau (được được sửa đổi, bổ sung tại Thông tư số 05/2020/TT-BTC ngày </w:t>
            </w:r>
            <w:r w:rsidRPr="006529D1">
              <w:rPr>
                <w:sz w:val="22"/>
                <w:szCs w:val="22"/>
              </w:rPr>
              <w:lastRenderedPageBreak/>
              <w:t>20 tháng 01 năm 2020 của Bộ trưởng Bộ Tài chính và Thông tư số 41/2024/TT-BTC ngày 20 tháng 5 năm 2024 của Bộ trưởng Bộ Tài chính) và các quy định pháp luật hiện hành.</w:t>
            </w:r>
          </w:p>
        </w:tc>
        <w:tc>
          <w:tcPr>
            <w:tcW w:w="5801" w:type="dxa"/>
          </w:tcPr>
          <w:p w:rsidR="006529D1" w:rsidRPr="006529D1" w:rsidRDefault="006529D1" w:rsidP="006529D1">
            <w:pPr>
              <w:widowControl w:val="0"/>
              <w:tabs>
                <w:tab w:val="center" w:pos="1843"/>
              </w:tabs>
              <w:spacing w:before="60" w:after="60"/>
              <w:jc w:val="both"/>
              <w:rPr>
                <w:b/>
                <w:sz w:val="22"/>
                <w:szCs w:val="22"/>
              </w:rPr>
            </w:pPr>
            <w:r w:rsidRPr="006529D1">
              <w:rPr>
                <w:b/>
                <w:sz w:val="22"/>
                <w:szCs w:val="22"/>
              </w:rPr>
              <w:lastRenderedPageBreak/>
              <w:t>Điều 1. Phạm vi điều chỉnh</w:t>
            </w:r>
          </w:p>
          <w:p w:rsidR="006529D1" w:rsidRPr="006529D1" w:rsidRDefault="006529D1" w:rsidP="006529D1">
            <w:pPr>
              <w:widowControl w:val="0"/>
              <w:tabs>
                <w:tab w:val="center" w:pos="1843"/>
              </w:tabs>
              <w:spacing w:before="60" w:after="60"/>
              <w:jc w:val="both"/>
              <w:rPr>
                <w:sz w:val="22"/>
                <w:szCs w:val="22"/>
              </w:rPr>
            </w:pPr>
            <w:r w:rsidRPr="006529D1">
              <w:rPr>
                <w:sz w:val="22"/>
                <w:szCs w:val="22"/>
              </w:rPr>
              <w:t>1. Quyết định này quy định về Bảng giá tính thuế tài nguyên đối với nhóm, loại tài nguyên có tính chất lý, hóa giống nhau trên địa bàn tỉnh Đồng Nai năm 2026 làm cơ sở để cơ quan thuế tính thuế tài nguyên cho các tổ chức và cá nhân khai thác tài nguyên trên địa bàn tỉnh Đồng Nai.</w:t>
            </w:r>
          </w:p>
          <w:p w:rsidR="004D1B89" w:rsidRDefault="006529D1" w:rsidP="006529D1">
            <w:pPr>
              <w:widowControl w:val="0"/>
              <w:tabs>
                <w:tab w:val="center" w:pos="1843"/>
              </w:tabs>
              <w:spacing w:before="60" w:after="60"/>
              <w:jc w:val="both"/>
              <w:rPr>
                <w:sz w:val="22"/>
                <w:szCs w:val="22"/>
              </w:rPr>
            </w:pPr>
            <w:r w:rsidRPr="006529D1">
              <w:rPr>
                <w:sz w:val="22"/>
                <w:szCs w:val="22"/>
              </w:rPr>
              <w:t>2. Các nội dung không được quy định tại Quyết định này thì thực hiện theo Thông tư số 152/2015/TT-BTC của Bộ trưởng Bộ Tài chính hướng dẫn về thuế tài nguyên được sửa đổi, bổ sung bởi Thông tư số 12/2016/TT-BTC, Thông tư số 174/2016/TT-BTC, Thông tư số 41/2024/TT-BTC; Thông tư số 44/2017/TT-BTC của Bộ trưởng Bộ Tài chính quy định về khung giá tính thuế tài nguyên đối với nhóm, loại tài nguyên có tính chất lý, hóa giống nhau được sửa đổi, bổ sung bởi Thông tư số 05/2020/TT-BTC, Thông tư số 41/2024/TT-BTC và các quy định pháp luật hiện hành.</w:t>
            </w:r>
          </w:p>
        </w:tc>
        <w:tc>
          <w:tcPr>
            <w:tcW w:w="2726" w:type="dxa"/>
          </w:tcPr>
          <w:p w:rsidR="001E2B9F" w:rsidRDefault="006529D1" w:rsidP="004D1B89">
            <w:pPr>
              <w:widowControl w:val="0"/>
              <w:tabs>
                <w:tab w:val="center" w:pos="1843"/>
              </w:tabs>
              <w:spacing w:before="60" w:after="60"/>
              <w:jc w:val="both"/>
              <w:rPr>
                <w:sz w:val="22"/>
                <w:szCs w:val="22"/>
              </w:rPr>
            </w:pPr>
            <w:r>
              <w:rPr>
                <w:sz w:val="22"/>
                <w:szCs w:val="22"/>
              </w:rPr>
              <w:t xml:space="preserve">Điều chỉnh </w:t>
            </w:r>
            <w:r w:rsidR="008E019D">
              <w:rPr>
                <w:sz w:val="22"/>
                <w:szCs w:val="22"/>
              </w:rPr>
              <w:t xml:space="preserve">năm của Bảng giá tính thuế tài nguyên và </w:t>
            </w:r>
            <w:r>
              <w:rPr>
                <w:sz w:val="22"/>
                <w:szCs w:val="22"/>
              </w:rPr>
              <w:t>cách viện dẫn theo quy định của Luật Ban hành văn bản quy phạm pháp luật năm 2025.</w:t>
            </w:r>
          </w:p>
        </w:tc>
      </w:tr>
      <w:tr w:rsidR="004D1B89" w:rsidRPr="00135B8A" w:rsidTr="00911FAC">
        <w:trPr>
          <w:trHeight w:val="425"/>
        </w:trPr>
        <w:tc>
          <w:tcPr>
            <w:tcW w:w="5807" w:type="dxa"/>
          </w:tcPr>
          <w:p w:rsidR="006529D1" w:rsidRPr="006529D1" w:rsidRDefault="006529D1" w:rsidP="006529D1">
            <w:pPr>
              <w:widowControl w:val="0"/>
              <w:tabs>
                <w:tab w:val="center" w:pos="1843"/>
              </w:tabs>
              <w:spacing w:before="60" w:after="60"/>
              <w:jc w:val="both"/>
              <w:rPr>
                <w:b/>
                <w:sz w:val="22"/>
                <w:szCs w:val="22"/>
              </w:rPr>
            </w:pPr>
            <w:r w:rsidRPr="006529D1">
              <w:rPr>
                <w:b/>
                <w:sz w:val="22"/>
                <w:szCs w:val="22"/>
              </w:rPr>
              <w:t>Điều 2. Đối tượng áp dụng</w:t>
            </w:r>
          </w:p>
          <w:p w:rsidR="004D1B89" w:rsidRPr="006529D1" w:rsidRDefault="006529D1" w:rsidP="006529D1">
            <w:pPr>
              <w:widowControl w:val="0"/>
              <w:tabs>
                <w:tab w:val="center" w:pos="1843"/>
              </w:tabs>
              <w:spacing w:before="60" w:after="60"/>
              <w:jc w:val="both"/>
              <w:rPr>
                <w:sz w:val="22"/>
                <w:szCs w:val="22"/>
              </w:rPr>
            </w:pPr>
            <w:r w:rsidRPr="006529D1">
              <w:rPr>
                <w:sz w:val="22"/>
                <w:szCs w:val="22"/>
              </w:rPr>
              <w:t>Người nộp thuế tài nguyên, cơ quan thuế và các cơ quan, tổ chức, cá nhân khác có liên quan.</w:t>
            </w:r>
          </w:p>
        </w:tc>
        <w:tc>
          <w:tcPr>
            <w:tcW w:w="5801" w:type="dxa"/>
          </w:tcPr>
          <w:p w:rsidR="001E2B9F" w:rsidRPr="001E2B9F" w:rsidRDefault="001E2B9F" w:rsidP="001E2B9F">
            <w:pPr>
              <w:widowControl w:val="0"/>
              <w:tabs>
                <w:tab w:val="center" w:pos="1843"/>
              </w:tabs>
              <w:spacing w:before="60" w:after="60"/>
              <w:jc w:val="both"/>
              <w:rPr>
                <w:b/>
                <w:sz w:val="22"/>
                <w:szCs w:val="22"/>
              </w:rPr>
            </w:pPr>
            <w:r w:rsidRPr="001E2B9F">
              <w:rPr>
                <w:b/>
                <w:sz w:val="22"/>
                <w:szCs w:val="22"/>
              </w:rPr>
              <w:t>Điều 2. Đối tượng áp dụng</w:t>
            </w:r>
          </w:p>
          <w:p w:rsidR="004D1B89" w:rsidRPr="00135B8A" w:rsidRDefault="006529D1" w:rsidP="001E2B9F">
            <w:pPr>
              <w:widowControl w:val="0"/>
              <w:tabs>
                <w:tab w:val="center" w:pos="1843"/>
              </w:tabs>
              <w:spacing w:before="60" w:after="60"/>
              <w:jc w:val="both"/>
              <w:rPr>
                <w:sz w:val="22"/>
                <w:szCs w:val="22"/>
              </w:rPr>
            </w:pPr>
            <w:r w:rsidRPr="006529D1">
              <w:rPr>
                <w:sz w:val="22"/>
                <w:szCs w:val="22"/>
              </w:rPr>
              <w:t>Người nộp thuế tài nguyên, cơ quan thuế và các cơ quan, tổ chức, cá nhân khác có liên quan.</w:t>
            </w:r>
          </w:p>
        </w:tc>
        <w:tc>
          <w:tcPr>
            <w:tcW w:w="2726" w:type="dxa"/>
          </w:tcPr>
          <w:p w:rsidR="004D1B89" w:rsidRPr="00135B8A" w:rsidRDefault="00CD6E0C" w:rsidP="004D1B89">
            <w:pPr>
              <w:widowControl w:val="0"/>
              <w:tabs>
                <w:tab w:val="center" w:pos="1843"/>
              </w:tabs>
              <w:spacing w:before="60" w:after="60"/>
              <w:jc w:val="both"/>
              <w:rPr>
                <w:sz w:val="22"/>
                <w:szCs w:val="22"/>
              </w:rPr>
            </w:pPr>
            <w:r>
              <w:rPr>
                <w:sz w:val="22"/>
                <w:szCs w:val="22"/>
              </w:rPr>
              <w:t>Không thay đổi do vẫn phù hợp với quy định hiện hành và đang được áp dụng ổn định</w:t>
            </w:r>
            <w:r w:rsidR="001E2B9F">
              <w:rPr>
                <w:sz w:val="22"/>
                <w:szCs w:val="22"/>
              </w:rPr>
              <w:t>.</w:t>
            </w:r>
          </w:p>
        </w:tc>
      </w:tr>
      <w:tr w:rsidR="004D1B89" w:rsidRPr="00135B8A" w:rsidTr="00911FAC">
        <w:tc>
          <w:tcPr>
            <w:tcW w:w="5807" w:type="dxa"/>
          </w:tcPr>
          <w:p w:rsidR="007425C8" w:rsidRDefault="006529D1" w:rsidP="0091058D">
            <w:pPr>
              <w:widowControl w:val="0"/>
              <w:tabs>
                <w:tab w:val="center" w:pos="1843"/>
              </w:tabs>
              <w:spacing w:before="60" w:after="60"/>
              <w:jc w:val="both"/>
              <w:rPr>
                <w:b/>
                <w:sz w:val="22"/>
                <w:szCs w:val="22"/>
              </w:rPr>
            </w:pPr>
            <w:r w:rsidRPr="008E019D">
              <w:rPr>
                <w:b/>
                <w:sz w:val="22"/>
                <w:szCs w:val="22"/>
              </w:rPr>
              <w:t>Điều 3. Bảng giá tính thuế tài nguyên đối với nhóm, loại tài nguyên có tính chất lý, hóa giống nhau trên địa bàn tỉnh Đồng Nai năm 2025</w:t>
            </w:r>
          </w:p>
          <w:p w:rsidR="008E019D" w:rsidRPr="008E019D" w:rsidRDefault="008E019D" w:rsidP="008E019D">
            <w:pPr>
              <w:widowControl w:val="0"/>
              <w:tabs>
                <w:tab w:val="center" w:pos="1843"/>
              </w:tabs>
              <w:spacing w:before="60" w:after="60"/>
              <w:jc w:val="both"/>
              <w:rPr>
                <w:sz w:val="22"/>
                <w:szCs w:val="22"/>
              </w:rPr>
            </w:pPr>
            <w:r w:rsidRPr="008E019D">
              <w:rPr>
                <w:sz w:val="22"/>
                <w:szCs w:val="22"/>
              </w:rPr>
              <w:t>1. Bảng giá tính thuế tài nguyên đối với nhóm, loại tài nguyên có tính chất lý, hóa giống nhau trên địa bàn tỉnh Đồng Nai năm 2025 theo Phụ lục ban hành kèm theo Quyết định này.</w:t>
            </w:r>
          </w:p>
          <w:p w:rsidR="008E019D" w:rsidRPr="008E019D" w:rsidRDefault="008E019D" w:rsidP="008E019D">
            <w:pPr>
              <w:widowControl w:val="0"/>
              <w:tabs>
                <w:tab w:val="center" w:pos="1843"/>
              </w:tabs>
              <w:spacing w:before="60" w:after="60"/>
              <w:jc w:val="both"/>
              <w:rPr>
                <w:b/>
                <w:sz w:val="22"/>
                <w:szCs w:val="22"/>
              </w:rPr>
            </w:pPr>
            <w:r w:rsidRPr="008E019D">
              <w:rPr>
                <w:sz w:val="22"/>
                <w:szCs w:val="22"/>
              </w:rPr>
              <w:t>2. Đối với các loại tài nguyên khi có phát sinh nhưng chưa được quy định trong Bảng giá tính thuế tài nguyên ban hành kèm theo Quyết định này thì áp dụng theo mức giá tính thuế tối đa của loại tài nguyên được ban hành tại Thông tư số 44/2017/TT-BTC ngày 12 tháng 5 năm 2017 của Bộ trưởng Bộ Tài chính quy định về khung giá tính thuế tài nguyên đối với nhóm, loại tài nguyên có tính chất lý, hóa giống nhau (được sửa đổi, bổ sung tại Thông tư số 05/2020/TT-BTC ngày 20 tháng 01 năm 2020 của Bộ trưởng Bộ Tài chính và Thông tư số 41/2024/TT-BTC ngày 20 tháng 5 năm 2024 của Bộ trưởng Bộ Tài chính).</w:t>
            </w:r>
          </w:p>
        </w:tc>
        <w:tc>
          <w:tcPr>
            <w:tcW w:w="5801" w:type="dxa"/>
          </w:tcPr>
          <w:p w:rsidR="006529D1" w:rsidRPr="006529D1" w:rsidRDefault="006529D1" w:rsidP="006529D1">
            <w:pPr>
              <w:widowControl w:val="0"/>
              <w:tabs>
                <w:tab w:val="center" w:pos="1843"/>
              </w:tabs>
              <w:spacing w:before="60" w:after="60"/>
              <w:jc w:val="both"/>
              <w:rPr>
                <w:b/>
                <w:sz w:val="22"/>
                <w:szCs w:val="22"/>
              </w:rPr>
            </w:pPr>
            <w:r w:rsidRPr="006529D1">
              <w:rPr>
                <w:b/>
                <w:sz w:val="22"/>
                <w:szCs w:val="22"/>
              </w:rPr>
              <w:t>Điều 3. Bảng giá tính thuế tài nguyên đối với nhóm, loại tài nguyên có tính chất lý, hóa giống nhau trên địa bàn tỉnh Đồng Nai năm 2026</w:t>
            </w:r>
          </w:p>
          <w:p w:rsidR="006529D1" w:rsidRPr="006529D1" w:rsidRDefault="006529D1" w:rsidP="006529D1">
            <w:pPr>
              <w:widowControl w:val="0"/>
              <w:tabs>
                <w:tab w:val="center" w:pos="1843"/>
              </w:tabs>
              <w:spacing w:before="60" w:after="60"/>
              <w:jc w:val="both"/>
              <w:rPr>
                <w:sz w:val="22"/>
                <w:szCs w:val="22"/>
              </w:rPr>
            </w:pPr>
            <w:r w:rsidRPr="006529D1">
              <w:rPr>
                <w:sz w:val="22"/>
                <w:szCs w:val="22"/>
              </w:rPr>
              <w:t>1. Bảng giá tính thuế tài nguyên đối với nhóm, loại tài nguyên có tính chất lý, hóa giống nhau trên địa bàn tỉnh Đồng Nai năm 2026 theo Phụ lục ban hành kèm theo Quyết định này.</w:t>
            </w:r>
          </w:p>
          <w:p w:rsidR="007425C8" w:rsidRPr="00135B8A" w:rsidRDefault="006529D1" w:rsidP="006529D1">
            <w:pPr>
              <w:widowControl w:val="0"/>
              <w:tabs>
                <w:tab w:val="center" w:pos="1843"/>
              </w:tabs>
              <w:spacing w:before="60" w:after="60"/>
              <w:jc w:val="both"/>
              <w:rPr>
                <w:sz w:val="22"/>
                <w:szCs w:val="22"/>
              </w:rPr>
            </w:pPr>
            <w:r w:rsidRPr="006529D1">
              <w:rPr>
                <w:sz w:val="22"/>
                <w:szCs w:val="22"/>
              </w:rPr>
              <w:t>2. Đối với các loại tài nguyên khi có phát sinh nhưng chưa được quy định trong Bảng giá tính thuế tài nguyên ban hành kèm theo Quyết định này thì áp dụng theo mức giá tính thuế tối đa của loại tài nguyên được ban hành tại Thông tư số 44/2017/TT-BTC được sửa đổi, bổ sung bởi Thông tư số 05/2020/TT-BTC, Thông tư số 41/2024/TT-BTC.</w:t>
            </w:r>
          </w:p>
        </w:tc>
        <w:tc>
          <w:tcPr>
            <w:tcW w:w="2726" w:type="dxa"/>
          </w:tcPr>
          <w:p w:rsidR="00CD6E0C" w:rsidRPr="00135B8A" w:rsidRDefault="008E019D" w:rsidP="004D1B89">
            <w:pPr>
              <w:widowControl w:val="0"/>
              <w:tabs>
                <w:tab w:val="center" w:pos="1843"/>
              </w:tabs>
              <w:spacing w:before="60" w:after="60"/>
              <w:jc w:val="both"/>
              <w:rPr>
                <w:sz w:val="22"/>
                <w:szCs w:val="22"/>
              </w:rPr>
            </w:pPr>
            <w:r>
              <w:rPr>
                <w:sz w:val="22"/>
                <w:szCs w:val="22"/>
              </w:rPr>
              <w:t>Điều chỉnh năm của Bảng giá tính thuế tài nguyên và cách viện dẫn theo quy định của Luật Ban hành văn bản quy phạm pháp luật năm 2025.</w:t>
            </w:r>
          </w:p>
        </w:tc>
      </w:tr>
      <w:tr w:rsidR="004D1B89" w:rsidRPr="00135B8A" w:rsidTr="00911FAC">
        <w:tc>
          <w:tcPr>
            <w:tcW w:w="5807" w:type="dxa"/>
          </w:tcPr>
          <w:p w:rsidR="008E019D" w:rsidRPr="008E019D" w:rsidRDefault="008E019D" w:rsidP="008E019D">
            <w:pPr>
              <w:widowControl w:val="0"/>
              <w:tabs>
                <w:tab w:val="center" w:pos="1843"/>
              </w:tabs>
              <w:spacing w:before="60" w:after="60"/>
              <w:jc w:val="both"/>
              <w:rPr>
                <w:b/>
                <w:sz w:val="22"/>
                <w:szCs w:val="22"/>
              </w:rPr>
            </w:pPr>
            <w:r w:rsidRPr="008E019D">
              <w:rPr>
                <w:b/>
                <w:sz w:val="22"/>
                <w:szCs w:val="22"/>
              </w:rPr>
              <w:t>Điều 4. Tổ chức thực hiện</w:t>
            </w:r>
          </w:p>
          <w:p w:rsidR="008E019D" w:rsidRPr="008E019D" w:rsidRDefault="008E019D" w:rsidP="008E019D">
            <w:pPr>
              <w:widowControl w:val="0"/>
              <w:tabs>
                <w:tab w:val="center" w:pos="1843"/>
              </w:tabs>
              <w:spacing w:before="60" w:after="60"/>
              <w:jc w:val="both"/>
              <w:rPr>
                <w:sz w:val="22"/>
                <w:szCs w:val="22"/>
              </w:rPr>
            </w:pPr>
            <w:r w:rsidRPr="008E019D">
              <w:rPr>
                <w:sz w:val="22"/>
                <w:szCs w:val="22"/>
              </w:rPr>
              <w:t xml:space="preserve">1. Sở Tài chính chủ trì phối hợp với các cơ quan liên quan trong việc xây dựng Quyết định điều chỉnh, bổ sung bảng giá tính thuế tài nguyên đối với nhóm, loại tài nguyên có tính chất lý, hóa giống nhau trên địa bàn tỉnh theo quy định tại Điều 6 Thông tư số 44/2017/TT-BTC (được sửa đổi, bổ sung tại Điều 1 Thông tư </w:t>
            </w:r>
            <w:r w:rsidRPr="008E019D">
              <w:rPr>
                <w:sz w:val="22"/>
                <w:szCs w:val="22"/>
              </w:rPr>
              <w:lastRenderedPageBreak/>
              <w:t>số 41/2024/TT-BTC).</w:t>
            </w:r>
          </w:p>
          <w:p w:rsidR="008E019D" w:rsidRPr="008E019D" w:rsidRDefault="008E019D" w:rsidP="008E019D">
            <w:pPr>
              <w:widowControl w:val="0"/>
              <w:tabs>
                <w:tab w:val="center" w:pos="1843"/>
              </w:tabs>
              <w:spacing w:before="60" w:after="60"/>
              <w:jc w:val="both"/>
              <w:rPr>
                <w:sz w:val="22"/>
                <w:szCs w:val="22"/>
              </w:rPr>
            </w:pPr>
            <w:r w:rsidRPr="008E019D">
              <w:rPr>
                <w:sz w:val="22"/>
                <w:szCs w:val="22"/>
              </w:rPr>
              <w:t>2. Chi cục Thuế khu vực XV hướng dẫn người nộp thuế thực hiện đăng ký, kê khai và nộp thuế; niêm yết công khai bảng giá tại trụ sở cơ quan thuế và trên Cổng thông tin điện tử của Ủy ban nhân dân tỉnh; xác định, tính và quyết toán thuế tài nguyên năm 2025 theo quy định của Nhà nước và quy định tại Quyết định này.</w:t>
            </w:r>
          </w:p>
          <w:p w:rsidR="008E019D" w:rsidRPr="008E019D" w:rsidRDefault="008E019D" w:rsidP="008E019D">
            <w:pPr>
              <w:widowControl w:val="0"/>
              <w:tabs>
                <w:tab w:val="center" w:pos="1843"/>
              </w:tabs>
              <w:spacing w:before="60" w:after="60"/>
              <w:jc w:val="both"/>
              <w:rPr>
                <w:sz w:val="22"/>
                <w:szCs w:val="22"/>
              </w:rPr>
            </w:pPr>
            <w:r w:rsidRPr="008E019D">
              <w:rPr>
                <w:sz w:val="22"/>
                <w:szCs w:val="22"/>
              </w:rPr>
              <w:t>3. Sở Nông nghiệp và Môi trường, Sở Tài chính, Chi cục Thuế khu vực XV, Kho bạc Nhà nước và Ủy ban nhân dân các huyện, thành phố Long Khánh và thành phố Biên Hòa căn cứ chức năng nhiệm vụ để phối hợp thực hiện quản lý thuế tài nguyên theo quy định.</w:t>
            </w:r>
          </w:p>
          <w:p w:rsidR="00BE1F3D" w:rsidRPr="008E019D" w:rsidRDefault="008E019D" w:rsidP="008E019D">
            <w:pPr>
              <w:widowControl w:val="0"/>
              <w:tabs>
                <w:tab w:val="center" w:pos="1843"/>
              </w:tabs>
              <w:spacing w:before="60" w:after="60"/>
              <w:jc w:val="both"/>
              <w:rPr>
                <w:sz w:val="22"/>
                <w:szCs w:val="22"/>
              </w:rPr>
            </w:pPr>
            <w:r w:rsidRPr="008E019D">
              <w:rPr>
                <w:sz w:val="22"/>
                <w:szCs w:val="22"/>
              </w:rPr>
              <w:t>4. Khi giá bán của các loại tài nguyên có biến động (tăng hoặc giảm) từ 20% trở lên hoặc có loại tài nguyên khác phát sinh, trên cơ sở đề xuất của Sở Nông nghiệp và Môi trường, Chi cục Thuế khu vực XV hoặc các sở, ngành, địa phương có liên quan thì Sở Tài chính chủ trì, phối hợp với Chi cục Thuế khu vực XV, Sở Nông nghiệp và Môi trường, các đơn vị có liên quan căn cứ giá giao dịch phổ biến trên thị trường hoặc giá bán tài nguyên đó trên thị trường để báo cáo Ủy ban nhân dân tỉnh xem xét, sửa đổi, bổ sung theo quy định.</w:t>
            </w:r>
          </w:p>
        </w:tc>
        <w:tc>
          <w:tcPr>
            <w:tcW w:w="5801" w:type="dxa"/>
          </w:tcPr>
          <w:p w:rsidR="008E019D" w:rsidRPr="008E019D" w:rsidRDefault="008E019D" w:rsidP="008E019D">
            <w:pPr>
              <w:widowControl w:val="0"/>
              <w:tabs>
                <w:tab w:val="center" w:pos="1843"/>
              </w:tabs>
              <w:spacing w:before="60" w:after="60"/>
              <w:jc w:val="both"/>
              <w:rPr>
                <w:b/>
                <w:sz w:val="22"/>
                <w:szCs w:val="22"/>
              </w:rPr>
            </w:pPr>
            <w:r w:rsidRPr="008E019D">
              <w:rPr>
                <w:b/>
                <w:sz w:val="22"/>
                <w:szCs w:val="22"/>
              </w:rPr>
              <w:lastRenderedPageBreak/>
              <w:t>Điều 4. Tổ chức thực hiện</w:t>
            </w:r>
          </w:p>
          <w:p w:rsidR="008E019D" w:rsidRPr="008E019D" w:rsidRDefault="008E019D" w:rsidP="008E019D">
            <w:pPr>
              <w:widowControl w:val="0"/>
              <w:tabs>
                <w:tab w:val="center" w:pos="1843"/>
              </w:tabs>
              <w:spacing w:before="60" w:after="60"/>
              <w:jc w:val="both"/>
              <w:rPr>
                <w:sz w:val="22"/>
                <w:szCs w:val="22"/>
              </w:rPr>
            </w:pPr>
            <w:r w:rsidRPr="008E019D">
              <w:rPr>
                <w:sz w:val="22"/>
                <w:szCs w:val="22"/>
              </w:rPr>
              <w:t xml:space="preserve">1. Sở Tài chính chủ trì phối hợp với các cơ quan liên quan trong việc xây dựng Quyết định điều chỉnh, bổ sung bảng giá tính thuế tài nguyên đối với nhóm, loại tài nguyên có tính chất lý, hóa giống nhau trên địa bàn tỉnh theo quy định tại Điều 6 Thông tư số 44/2017/TT-BTC được sửa đổi, bổ sung bởi Điều 1 Thông tư </w:t>
            </w:r>
            <w:r w:rsidRPr="008E019D">
              <w:rPr>
                <w:sz w:val="22"/>
                <w:szCs w:val="22"/>
              </w:rPr>
              <w:lastRenderedPageBreak/>
              <w:t>số 41/2024/TT-BTC.</w:t>
            </w:r>
          </w:p>
          <w:p w:rsidR="008E019D" w:rsidRPr="008E019D" w:rsidRDefault="008E019D" w:rsidP="008E019D">
            <w:pPr>
              <w:widowControl w:val="0"/>
              <w:tabs>
                <w:tab w:val="center" w:pos="1843"/>
              </w:tabs>
              <w:spacing w:before="60" w:after="60"/>
              <w:jc w:val="both"/>
              <w:rPr>
                <w:sz w:val="22"/>
                <w:szCs w:val="22"/>
              </w:rPr>
            </w:pPr>
            <w:r w:rsidRPr="008E019D">
              <w:rPr>
                <w:sz w:val="22"/>
                <w:szCs w:val="22"/>
              </w:rPr>
              <w:t>2. Cơ quan Thuế tỉnh hướng dẫn người nộp thuế thực hiện đăng ký, kê khai và nộp thuế; niêm yết công khai bảng giá tại trụ sở cơ quan thuế và trên cổng thông tin điện tử của Ủy ban nhân dân tỉnh; xác định, tính và quyết toán thuế tài nguyên năm 2026 theo quy định của Nhà nước và quy định tại Quyết định này.</w:t>
            </w:r>
          </w:p>
          <w:p w:rsidR="008E019D" w:rsidRPr="008E019D" w:rsidRDefault="008E019D" w:rsidP="008E019D">
            <w:pPr>
              <w:widowControl w:val="0"/>
              <w:tabs>
                <w:tab w:val="center" w:pos="1843"/>
              </w:tabs>
              <w:spacing w:before="60" w:after="60"/>
              <w:jc w:val="both"/>
              <w:rPr>
                <w:sz w:val="22"/>
                <w:szCs w:val="22"/>
              </w:rPr>
            </w:pPr>
            <w:r w:rsidRPr="008E019D">
              <w:rPr>
                <w:sz w:val="22"/>
                <w:szCs w:val="22"/>
              </w:rPr>
              <w:t>3. Sở Nông nghiệp và Môi trường, Sở Tài chính, Cơ quan Thuế tỉnh, Kho bạc nhà nước và Ủy ban nhân dân các xã, phường căn cứ chức năng nhiệm vụ để phối hợp thực hiện quản lý thuế tài nguyên theo quy định.</w:t>
            </w:r>
          </w:p>
          <w:p w:rsidR="004D1B89" w:rsidRPr="00135B8A" w:rsidRDefault="008E019D" w:rsidP="008E019D">
            <w:pPr>
              <w:widowControl w:val="0"/>
              <w:tabs>
                <w:tab w:val="center" w:pos="1843"/>
              </w:tabs>
              <w:spacing w:before="60" w:after="60"/>
              <w:jc w:val="both"/>
              <w:rPr>
                <w:sz w:val="22"/>
                <w:szCs w:val="22"/>
              </w:rPr>
            </w:pPr>
            <w:r w:rsidRPr="008E019D">
              <w:rPr>
                <w:sz w:val="22"/>
                <w:szCs w:val="22"/>
              </w:rPr>
              <w:t>4. Khi giá bán của các loại tài nguyên có biến động (tăng hoặc giảm) từ 20% trở lên hoặc có loại tài nguyên khác phát sinh, trên cơ sở đề xuất của Sở Nông nghiệp và Môi trường, Cơ quan Thuế tỉnh hoặc các sở, ngành, địa phương có liên quan thì Sở Tài chính chủ trì, phối hợp với Cơ quan Thuế tỉnh, Sở Nông nghiệp và Môi trường, các đơn vị có liên quan căn cứ giá giao dịch phổ biến trên thị trường hoặc giá bán tài nguyên đó trên thị trường để báo cáo Ủy ban nhân dân tỉnh xem xét, sửa đổi, bổ sung theo quy định.</w:t>
            </w:r>
          </w:p>
        </w:tc>
        <w:tc>
          <w:tcPr>
            <w:tcW w:w="2726" w:type="dxa"/>
          </w:tcPr>
          <w:p w:rsidR="008E019D" w:rsidRDefault="008E019D" w:rsidP="004D1B89">
            <w:pPr>
              <w:widowControl w:val="0"/>
              <w:tabs>
                <w:tab w:val="center" w:pos="1843"/>
              </w:tabs>
              <w:spacing w:before="60" w:after="60"/>
              <w:jc w:val="both"/>
              <w:rPr>
                <w:sz w:val="22"/>
                <w:szCs w:val="22"/>
              </w:rPr>
            </w:pPr>
            <w:r>
              <w:rPr>
                <w:sz w:val="22"/>
                <w:szCs w:val="22"/>
              </w:rPr>
              <w:lastRenderedPageBreak/>
              <w:t>Điều chỉnh năm của Bảng giá tính thuế tài nguyên và cách viện dẫn theo quy định của Luật Ban hành văn bản quy phạm pháp luật năm 2025.</w:t>
            </w:r>
          </w:p>
          <w:p w:rsidR="004D1B89" w:rsidRPr="00135B8A" w:rsidRDefault="008E019D" w:rsidP="004D1B89">
            <w:pPr>
              <w:widowControl w:val="0"/>
              <w:tabs>
                <w:tab w:val="center" w:pos="1843"/>
              </w:tabs>
              <w:spacing w:before="60" w:after="60"/>
              <w:jc w:val="both"/>
              <w:rPr>
                <w:sz w:val="22"/>
                <w:szCs w:val="22"/>
              </w:rPr>
            </w:pPr>
            <w:r>
              <w:rPr>
                <w:sz w:val="22"/>
                <w:szCs w:val="22"/>
              </w:rPr>
              <w:lastRenderedPageBreak/>
              <w:t>Điều chỉnh tên các cơ quan, đơn vị theo mô hình tổ chức bộ máy hiện nay.</w:t>
            </w:r>
          </w:p>
        </w:tc>
      </w:tr>
      <w:tr w:rsidR="004D1B89" w:rsidRPr="00135B8A" w:rsidTr="00911FAC">
        <w:tc>
          <w:tcPr>
            <w:tcW w:w="5807" w:type="dxa"/>
          </w:tcPr>
          <w:p w:rsidR="002B1C3C" w:rsidRPr="002B1C3C" w:rsidRDefault="002B1C3C" w:rsidP="002B1C3C">
            <w:pPr>
              <w:widowControl w:val="0"/>
              <w:tabs>
                <w:tab w:val="center" w:pos="1843"/>
              </w:tabs>
              <w:spacing w:before="60" w:after="60"/>
              <w:jc w:val="both"/>
              <w:rPr>
                <w:b/>
                <w:sz w:val="22"/>
                <w:szCs w:val="22"/>
              </w:rPr>
            </w:pPr>
            <w:r w:rsidRPr="002B1C3C">
              <w:rPr>
                <w:b/>
                <w:sz w:val="22"/>
                <w:szCs w:val="22"/>
              </w:rPr>
              <w:lastRenderedPageBreak/>
              <w:t>Điều 5. Hiệu lực thi hành</w:t>
            </w:r>
          </w:p>
          <w:p w:rsidR="002B1C3C" w:rsidRPr="002B1C3C" w:rsidRDefault="002B1C3C" w:rsidP="002B1C3C">
            <w:pPr>
              <w:widowControl w:val="0"/>
              <w:tabs>
                <w:tab w:val="center" w:pos="1843"/>
              </w:tabs>
              <w:spacing w:before="60" w:after="60"/>
              <w:jc w:val="both"/>
              <w:rPr>
                <w:sz w:val="22"/>
                <w:szCs w:val="22"/>
              </w:rPr>
            </w:pPr>
            <w:r w:rsidRPr="002B1C3C">
              <w:rPr>
                <w:sz w:val="22"/>
                <w:szCs w:val="22"/>
              </w:rPr>
              <w:t>1. Quyết định này có hiệu lực thi hành kể từ ngày 30 tháng 3 năm 2025 và thay thế Quyết định số 14/2024/QĐ-UBND ngày 05 tháng 3 năm 2024 của Ủy ban nhân dân tỉnh Đồng Nai ban hành Bảng giá tính thuế tài nguyên đối với nhóm, loại tài nguyên có tính chất lý, hóa giống nhau trên địa bàn tỉnh Đồng Nai năm 2024.</w:t>
            </w:r>
          </w:p>
          <w:p w:rsidR="002B1C3C" w:rsidRPr="002B1C3C" w:rsidRDefault="002B1C3C" w:rsidP="002B1C3C">
            <w:pPr>
              <w:widowControl w:val="0"/>
              <w:tabs>
                <w:tab w:val="center" w:pos="1843"/>
              </w:tabs>
              <w:spacing w:before="60" w:after="60"/>
              <w:jc w:val="both"/>
              <w:rPr>
                <w:sz w:val="22"/>
                <w:szCs w:val="22"/>
              </w:rPr>
            </w:pPr>
            <w:r w:rsidRPr="002B1C3C">
              <w:rPr>
                <w:sz w:val="22"/>
                <w:szCs w:val="22"/>
              </w:rPr>
              <w:t xml:space="preserve">2. Chánh Văn phòng Ủy ban nhân dân tỉnh, Giám đốc các Sở: </w:t>
            </w:r>
            <w:r w:rsidRPr="002B1C3C">
              <w:rPr>
                <w:sz w:val="22"/>
                <w:szCs w:val="22"/>
              </w:rPr>
              <w:lastRenderedPageBreak/>
              <w:t>Tài chính, Nông nghiệp và Môi trường; Giám đốc Kho bạc Nhà nước khu vực XV, Chi cục trưởng Chi cục Thuế khu vực XV; Thủ trưởng các sở, ban, ngành; Chủ tịch Ủy ban nhân dân các huyện, thành phố Long Khánh và thành phố Biên Hòa; Thủ trưởng các đơn vị, doanh nghiệp và cá nhân có liên quan chịu trách nhiệm thi hành Quyết định này./.</w:t>
            </w:r>
          </w:p>
          <w:p w:rsidR="002B1C3C" w:rsidRPr="002B1C3C" w:rsidRDefault="002B1C3C" w:rsidP="002B1C3C">
            <w:pPr>
              <w:widowControl w:val="0"/>
              <w:tabs>
                <w:tab w:val="center" w:pos="1843"/>
              </w:tabs>
              <w:spacing w:before="60" w:after="60"/>
              <w:jc w:val="both"/>
              <w:rPr>
                <w:sz w:val="22"/>
                <w:szCs w:val="22"/>
              </w:rPr>
            </w:pPr>
          </w:p>
          <w:p w:rsidR="004D1B89" w:rsidRPr="00A40ED7" w:rsidRDefault="004D1B89" w:rsidP="00BE1F3D">
            <w:pPr>
              <w:widowControl w:val="0"/>
              <w:tabs>
                <w:tab w:val="center" w:pos="1843"/>
              </w:tabs>
              <w:spacing w:before="60" w:after="60"/>
              <w:jc w:val="both"/>
              <w:rPr>
                <w:sz w:val="22"/>
                <w:szCs w:val="22"/>
              </w:rPr>
            </w:pPr>
          </w:p>
        </w:tc>
        <w:tc>
          <w:tcPr>
            <w:tcW w:w="5801" w:type="dxa"/>
          </w:tcPr>
          <w:p w:rsidR="008E019D" w:rsidRPr="008E019D" w:rsidRDefault="008E019D" w:rsidP="008E019D">
            <w:pPr>
              <w:widowControl w:val="0"/>
              <w:tabs>
                <w:tab w:val="center" w:pos="1843"/>
              </w:tabs>
              <w:spacing w:before="60" w:after="60"/>
              <w:jc w:val="both"/>
              <w:rPr>
                <w:b/>
                <w:sz w:val="22"/>
                <w:szCs w:val="22"/>
              </w:rPr>
            </w:pPr>
            <w:r w:rsidRPr="008E019D">
              <w:rPr>
                <w:b/>
                <w:sz w:val="22"/>
                <w:szCs w:val="22"/>
              </w:rPr>
              <w:lastRenderedPageBreak/>
              <w:t>Điều 5. Hiệu lực thi hành</w:t>
            </w:r>
          </w:p>
          <w:p w:rsidR="008E019D" w:rsidRPr="008E019D" w:rsidRDefault="008E019D" w:rsidP="008E019D">
            <w:pPr>
              <w:widowControl w:val="0"/>
              <w:tabs>
                <w:tab w:val="center" w:pos="1843"/>
              </w:tabs>
              <w:spacing w:before="60" w:after="60"/>
              <w:jc w:val="both"/>
              <w:rPr>
                <w:sz w:val="22"/>
                <w:szCs w:val="22"/>
              </w:rPr>
            </w:pPr>
            <w:r w:rsidRPr="008E019D">
              <w:rPr>
                <w:sz w:val="22"/>
                <w:szCs w:val="22"/>
              </w:rPr>
              <w:t>1. Quyết định này có hiệu lực từ ngày 01 tháng 01 năm 2026.</w:t>
            </w:r>
          </w:p>
          <w:p w:rsidR="008E019D" w:rsidRPr="008E019D" w:rsidRDefault="008E019D" w:rsidP="008E019D">
            <w:pPr>
              <w:widowControl w:val="0"/>
              <w:tabs>
                <w:tab w:val="center" w:pos="1843"/>
              </w:tabs>
              <w:spacing w:before="60" w:after="60"/>
              <w:jc w:val="both"/>
              <w:rPr>
                <w:sz w:val="22"/>
                <w:szCs w:val="22"/>
              </w:rPr>
            </w:pPr>
            <w:r w:rsidRPr="008E019D">
              <w:rPr>
                <w:sz w:val="22"/>
                <w:szCs w:val="22"/>
              </w:rPr>
              <w:t>2. Quyết định này thay thế Quyết định số 25/2025/QĐ-UBND ngày 18 tháng 3 năm 2025 của Ủy ban nhân dân tỉnh Đồng Nai ban hành Bảng giá tính thuế tài nguyên đối với nhóm, loại tài nguyên có tính chất lý, hóa giống nhau trên địa bàn tỉnh Đồng Nai năm 2025.</w:t>
            </w:r>
          </w:p>
          <w:p w:rsidR="008E019D" w:rsidRPr="008E019D" w:rsidRDefault="008E019D" w:rsidP="008E019D">
            <w:pPr>
              <w:widowControl w:val="0"/>
              <w:tabs>
                <w:tab w:val="center" w:pos="1843"/>
              </w:tabs>
              <w:spacing w:before="60" w:after="60"/>
              <w:jc w:val="both"/>
              <w:rPr>
                <w:sz w:val="22"/>
                <w:szCs w:val="22"/>
              </w:rPr>
            </w:pPr>
            <w:r w:rsidRPr="008E019D">
              <w:rPr>
                <w:sz w:val="22"/>
                <w:szCs w:val="22"/>
              </w:rPr>
              <w:t xml:space="preserve">3. Quyết định này bãi bỏ số thứ tự thứ 5 Phụ lục IIb Danh mục </w:t>
            </w:r>
            <w:r w:rsidRPr="008E019D">
              <w:rPr>
                <w:sz w:val="22"/>
                <w:szCs w:val="22"/>
              </w:rPr>
              <w:lastRenderedPageBreak/>
              <w:t>các văn bản quy phạm pháp luật được lựa chọn áp dụng trên địa bàn tỉnh Đồng Nai mới ban hành kèm theo Quyết định số 2432/QĐ-UBND ngày 30 tháng 6 năm 2025 của Ủy ban nhân dân tỉnh về áp dụng văn bản quy phạm pháp luật của Ủy ban nhân dân tỉnh Đồng Nai và Ủy ban nhân dân tỉnh Bình Phước thuộc lĩnh vực giá - công sản và tài chính đất đai trên địa bàn tỉnh Đồng Nai.</w:t>
            </w:r>
          </w:p>
          <w:p w:rsidR="004D1B89" w:rsidRPr="008E019D" w:rsidRDefault="008E019D" w:rsidP="008E019D">
            <w:pPr>
              <w:widowControl w:val="0"/>
              <w:tabs>
                <w:tab w:val="center" w:pos="1843"/>
              </w:tabs>
              <w:spacing w:before="60" w:after="60"/>
              <w:jc w:val="both"/>
              <w:rPr>
                <w:sz w:val="22"/>
                <w:szCs w:val="22"/>
              </w:rPr>
            </w:pPr>
            <w:r w:rsidRPr="008E019D">
              <w:rPr>
                <w:sz w:val="22"/>
                <w:szCs w:val="22"/>
              </w:rPr>
              <w:t>4. Chánh Văn phòng Ủy ban nhân dân tỉnh; Giám đốc các Sở: Tài chính, Xây dựng, Nông nghiệp và Môi trường; Trưởng Thuế tỉnh; Chủ tịch Ủy ban nhân dân các xã, phường; Thủ trưởng các cơ quan, đơn vị và các tổ chức, cá nhân liên quan chịu trách nhiệm thi hành Quyết định này./.</w:t>
            </w:r>
          </w:p>
        </w:tc>
        <w:tc>
          <w:tcPr>
            <w:tcW w:w="2726" w:type="dxa"/>
          </w:tcPr>
          <w:p w:rsidR="00CD6E0C" w:rsidRDefault="00CD6E0C" w:rsidP="004D1B89">
            <w:pPr>
              <w:widowControl w:val="0"/>
              <w:tabs>
                <w:tab w:val="center" w:pos="1843"/>
              </w:tabs>
              <w:spacing w:before="60" w:after="60"/>
              <w:jc w:val="both"/>
              <w:rPr>
                <w:sz w:val="22"/>
                <w:szCs w:val="22"/>
              </w:rPr>
            </w:pPr>
            <w:r>
              <w:rPr>
                <w:sz w:val="22"/>
                <w:szCs w:val="22"/>
              </w:rPr>
              <w:lastRenderedPageBreak/>
              <w:t xml:space="preserve">Bổ sung điều khoản áp dụng tại </w:t>
            </w:r>
            <w:r w:rsidRPr="00BE1F3D">
              <w:rPr>
                <w:sz w:val="22"/>
                <w:szCs w:val="22"/>
              </w:rPr>
              <w:t>Quyết định số 2432/QĐ-UBND</w:t>
            </w:r>
            <w:r>
              <w:rPr>
                <w:sz w:val="22"/>
                <w:szCs w:val="22"/>
              </w:rPr>
              <w:t>.</w:t>
            </w:r>
          </w:p>
          <w:p w:rsidR="00CD6E0C" w:rsidRDefault="00CD6E0C" w:rsidP="004D1B89">
            <w:pPr>
              <w:widowControl w:val="0"/>
              <w:tabs>
                <w:tab w:val="center" w:pos="1843"/>
              </w:tabs>
              <w:spacing w:before="60" w:after="60"/>
              <w:jc w:val="both"/>
              <w:rPr>
                <w:sz w:val="22"/>
                <w:szCs w:val="22"/>
              </w:rPr>
            </w:pPr>
            <w:r>
              <w:rPr>
                <w:sz w:val="22"/>
                <w:szCs w:val="22"/>
              </w:rPr>
              <w:t>Điều chỉnh tên các cơ quan, đơn vị theo mô hình tổ chức bộ máy hiện nay.</w:t>
            </w:r>
          </w:p>
        </w:tc>
      </w:tr>
    </w:tbl>
    <w:p w:rsidR="00BC7C3E" w:rsidRDefault="00B005DA" w:rsidP="002B1C3C">
      <w:pPr>
        <w:widowControl w:val="0"/>
        <w:tabs>
          <w:tab w:val="center" w:pos="1843"/>
          <w:tab w:val="center" w:pos="6237"/>
        </w:tabs>
        <w:spacing w:before="240" w:after="120"/>
        <w:ind w:firstLine="567"/>
        <w:jc w:val="both"/>
        <w:rPr>
          <w:b/>
        </w:rPr>
      </w:pPr>
      <w:r w:rsidRPr="002B1C3C">
        <w:rPr>
          <w:b/>
        </w:rPr>
        <w:t xml:space="preserve">* </w:t>
      </w:r>
      <w:r w:rsidR="006329D8" w:rsidRPr="002B1C3C">
        <w:rPr>
          <w:b/>
        </w:rPr>
        <w:t>So sánh</w:t>
      </w:r>
      <w:r w:rsidRPr="002B1C3C">
        <w:rPr>
          <w:b/>
        </w:rPr>
        <w:t xml:space="preserve"> Bảng giá </w:t>
      </w:r>
      <w:r w:rsidR="002B1C3C" w:rsidRPr="002B1C3C">
        <w:rPr>
          <w:b/>
        </w:rPr>
        <w:t>tính thuế tài nguyên năm 2025 tại Quyết định số 25/2025/QĐ-UBND ngày 18/3/2025 và Bảng giá tính thuế tài nguyên năm 2026 tại dự thảo Quyết định</w:t>
      </w:r>
      <w:r w:rsidR="002B1C3C">
        <w:rPr>
          <w:b/>
        </w:rPr>
        <w:t>:</w:t>
      </w:r>
    </w:p>
    <w:p w:rsidR="002B1C3C" w:rsidRPr="00B16B29" w:rsidRDefault="000C587C" w:rsidP="00920940">
      <w:pPr>
        <w:tabs>
          <w:tab w:val="left" w:pos="1701"/>
        </w:tabs>
        <w:spacing w:before="120" w:after="240"/>
        <w:ind w:firstLine="567"/>
        <w:jc w:val="both"/>
        <w:rPr>
          <w:b/>
          <w:noProof/>
        </w:rPr>
      </w:pPr>
      <w:r>
        <w:rPr>
          <w:b/>
          <w:noProof/>
        </w:rPr>
        <w:t>I</w:t>
      </w:r>
      <w:bookmarkStart w:id="0" w:name="_GoBack"/>
      <w:bookmarkEnd w:id="0"/>
      <w:r w:rsidR="002B1C3C">
        <w:rPr>
          <w:b/>
          <w:noProof/>
        </w:rPr>
        <w:t>. KHOÁNG SẢN KHÔNG KIM LOẠI</w:t>
      </w:r>
    </w:p>
    <w:tbl>
      <w:tblPr>
        <w:tblStyle w:val="TableGrid"/>
        <w:tblW w:w="14312" w:type="dxa"/>
        <w:tblLayout w:type="fixed"/>
        <w:tblLook w:val="04A0" w:firstRow="1" w:lastRow="0" w:firstColumn="1" w:lastColumn="0" w:noHBand="0" w:noVBand="1"/>
      </w:tblPr>
      <w:tblGrid>
        <w:gridCol w:w="610"/>
        <w:gridCol w:w="608"/>
        <w:gridCol w:w="904"/>
        <w:gridCol w:w="913"/>
        <w:gridCol w:w="1133"/>
        <w:gridCol w:w="647"/>
        <w:gridCol w:w="2410"/>
        <w:gridCol w:w="850"/>
        <w:gridCol w:w="1559"/>
        <w:gridCol w:w="1985"/>
        <w:gridCol w:w="2693"/>
      </w:tblGrid>
      <w:tr w:rsidR="00920940" w:rsidRPr="002556F0" w:rsidTr="00920940">
        <w:trPr>
          <w:tblHeader/>
        </w:trPr>
        <w:tc>
          <w:tcPr>
            <w:tcW w:w="4815" w:type="dxa"/>
            <w:gridSpan w:val="6"/>
            <w:vAlign w:val="center"/>
          </w:tcPr>
          <w:p w:rsidR="00920940" w:rsidRPr="002556F0" w:rsidRDefault="00920940" w:rsidP="00920940">
            <w:pPr>
              <w:tabs>
                <w:tab w:val="left" w:pos="1701"/>
              </w:tabs>
              <w:spacing w:before="40" w:after="40"/>
              <w:jc w:val="center"/>
              <w:rPr>
                <w:b/>
                <w:sz w:val="22"/>
                <w:szCs w:val="22"/>
              </w:rPr>
            </w:pPr>
            <w:r w:rsidRPr="002556F0">
              <w:rPr>
                <w:b/>
                <w:sz w:val="22"/>
                <w:szCs w:val="22"/>
              </w:rPr>
              <w:t>Mã, nhóm loại tài nguyên</w:t>
            </w:r>
          </w:p>
        </w:tc>
        <w:tc>
          <w:tcPr>
            <w:tcW w:w="2410" w:type="dxa"/>
            <w:vMerge w:val="restart"/>
            <w:vAlign w:val="center"/>
          </w:tcPr>
          <w:p w:rsidR="00920940" w:rsidRPr="002556F0" w:rsidRDefault="00920940" w:rsidP="00920940">
            <w:pPr>
              <w:tabs>
                <w:tab w:val="left" w:pos="1701"/>
              </w:tabs>
              <w:spacing w:before="40" w:after="40"/>
              <w:jc w:val="center"/>
              <w:rPr>
                <w:b/>
                <w:sz w:val="22"/>
                <w:szCs w:val="22"/>
              </w:rPr>
            </w:pPr>
            <w:r w:rsidRPr="002556F0">
              <w:rPr>
                <w:b/>
                <w:sz w:val="22"/>
                <w:szCs w:val="22"/>
              </w:rPr>
              <w:t>Tên nhóm, loại tài nguyên/Sản phẩm tài nguyên</w:t>
            </w:r>
          </w:p>
        </w:tc>
        <w:tc>
          <w:tcPr>
            <w:tcW w:w="850" w:type="dxa"/>
            <w:vMerge w:val="restart"/>
            <w:vAlign w:val="center"/>
          </w:tcPr>
          <w:p w:rsidR="00920940" w:rsidRPr="002556F0" w:rsidRDefault="00920940" w:rsidP="00920940">
            <w:pPr>
              <w:tabs>
                <w:tab w:val="left" w:pos="1701"/>
              </w:tabs>
              <w:spacing w:before="40" w:after="40"/>
              <w:jc w:val="center"/>
              <w:rPr>
                <w:b/>
                <w:sz w:val="22"/>
                <w:szCs w:val="22"/>
              </w:rPr>
            </w:pPr>
            <w:r w:rsidRPr="002556F0">
              <w:rPr>
                <w:b/>
                <w:sz w:val="22"/>
                <w:szCs w:val="22"/>
              </w:rPr>
              <w:t>Đơn vị tính</w:t>
            </w:r>
          </w:p>
        </w:tc>
        <w:tc>
          <w:tcPr>
            <w:tcW w:w="1559" w:type="dxa"/>
            <w:vMerge w:val="restart"/>
            <w:vAlign w:val="center"/>
          </w:tcPr>
          <w:p w:rsidR="00920940" w:rsidRPr="002556F0" w:rsidRDefault="00920940" w:rsidP="00920940">
            <w:pPr>
              <w:tabs>
                <w:tab w:val="left" w:pos="1701"/>
              </w:tabs>
              <w:spacing w:before="40" w:after="40"/>
              <w:jc w:val="center"/>
              <w:rPr>
                <w:b/>
                <w:sz w:val="22"/>
                <w:szCs w:val="22"/>
              </w:rPr>
            </w:pPr>
            <w:r>
              <w:rPr>
                <w:b/>
                <w:sz w:val="22"/>
                <w:szCs w:val="22"/>
              </w:rPr>
              <w:t xml:space="preserve">Đơn giá tại </w:t>
            </w:r>
            <w:r w:rsidRPr="002B1C3C">
              <w:rPr>
                <w:b/>
                <w:sz w:val="22"/>
                <w:szCs w:val="22"/>
              </w:rPr>
              <w:t>Quyết định số 25/2025/QĐ-UBND</w:t>
            </w:r>
          </w:p>
        </w:tc>
        <w:tc>
          <w:tcPr>
            <w:tcW w:w="1985" w:type="dxa"/>
            <w:vMerge w:val="restart"/>
            <w:vAlign w:val="center"/>
          </w:tcPr>
          <w:p w:rsidR="00920940" w:rsidRPr="002556F0" w:rsidRDefault="00920940" w:rsidP="00920940">
            <w:pPr>
              <w:tabs>
                <w:tab w:val="left" w:pos="1701"/>
              </w:tabs>
              <w:spacing w:before="40" w:after="40"/>
              <w:jc w:val="center"/>
              <w:rPr>
                <w:b/>
                <w:sz w:val="22"/>
                <w:szCs w:val="22"/>
              </w:rPr>
            </w:pPr>
            <w:r w:rsidRPr="002556F0">
              <w:rPr>
                <w:b/>
                <w:sz w:val="22"/>
                <w:szCs w:val="22"/>
              </w:rPr>
              <w:t xml:space="preserve">Đơn giá </w:t>
            </w:r>
            <w:r>
              <w:rPr>
                <w:b/>
                <w:sz w:val="22"/>
                <w:szCs w:val="22"/>
              </w:rPr>
              <w:t>tại dự thảo Quyết định</w:t>
            </w:r>
          </w:p>
        </w:tc>
        <w:tc>
          <w:tcPr>
            <w:tcW w:w="2693" w:type="dxa"/>
            <w:vMerge w:val="restart"/>
            <w:vAlign w:val="center"/>
          </w:tcPr>
          <w:p w:rsidR="00920940" w:rsidRPr="002556F0" w:rsidRDefault="00E43B08" w:rsidP="00920940">
            <w:pPr>
              <w:tabs>
                <w:tab w:val="left" w:pos="1701"/>
              </w:tabs>
              <w:spacing w:before="40" w:after="40"/>
              <w:jc w:val="center"/>
              <w:rPr>
                <w:b/>
                <w:sz w:val="22"/>
                <w:szCs w:val="22"/>
              </w:rPr>
            </w:pPr>
            <w:r>
              <w:rPr>
                <w:b/>
                <w:sz w:val="22"/>
                <w:szCs w:val="22"/>
              </w:rPr>
              <w:t>Ghi chú</w:t>
            </w:r>
          </w:p>
        </w:tc>
      </w:tr>
      <w:tr w:rsidR="00920940" w:rsidRPr="002556F0" w:rsidTr="00920940">
        <w:trPr>
          <w:tblHeader/>
        </w:trPr>
        <w:tc>
          <w:tcPr>
            <w:tcW w:w="610" w:type="dxa"/>
            <w:vAlign w:val="center"/>
          </w:tcPr>
          <w:p w:rsidR="00920940" w:rsidRPr="002556F0" w:rsidRDefault="00920940" w:rsidP="006C74D8">
            <w:pPr>
              <w:tabs>
                <w:tab w:val="left" w:pos="1701"/>
              </w:tabs>
              <w:spacing w:before="40" w:after="40"/>
              <w:jc w:val="center"/>
              <w:rPr>
                <w:b/>
                <w:sz w:val="22"/>
                <w:szCs w:val="22"/>
              </w:rPr>
            </w:pPr>
            <w:r w:rsidRPr="002556F0">
              <w:rPr>
                <w:b/>
                <w:sz w:val="22"/>
                <w:szCs w:val="22"/>
              </w:rPr>
              <w:t>Cấp 1</w:t>
            </w:r>
          </w:p>
        </w:tc>
        <w:tc>
          <w:tcPr>
            <w:tcW w:w="608" w:type="dxa"/>
            <w:vAlign w:val="center"/>
          </w:tcPr>
          <w:p w:rsidR="00920940" w:rsidRPr="002556F0" w:rsidRDefault="00920940" w:rsidP="006C74D8">
            <w:pPr>
              <w:tabs>
                <w:tab w:val="left" w:pos="1701"/>
              </w:tabs>
              <w:spacing w:before="40" w:after="40"/>
              <w:jc w:val="center"/>
              <w:rPr>
                <w:b/>
                <w:sz w:val="22"/>
                <w:szCs w:val="22"/>
              </w:rPr>
            </w:pPr>
            <w:r w:rsidRPr="002556F0">
              <w:rPr>
                <w:b/>
                <w:sz w:val="22"/>
                <w:szCs w:val="22"/>
              </w:rPr>
              <w:t>Cấp 2</w:t>
            </w:r>
          </w:p>
        </w:tc>
        <w:tc>
          <w:tcPr>
            <w:tcW w:w="904" w:type="dxa"/>
            <w:vAlign w:val="center"/>
          </w:tcPr>
          <w:p w:rsidR="00920940" w:rsidRPr="002556F0" w:rsidRDefault="00920940" w:rsidP="006C74D8">
            <w:pPr>
              <w:jc w:val="center"/>
              <w:rPr>
                <w:b/>
                <w:sz w:val="22"/>
                <w:szCs w:val="22"/>
              </w:rPr>
            </w:pPr>
            <w:r w:rsidRPr="002556F0">
              <w:rPr>
                <w:b/>
                <w:sz w:val="22"/>
                <w:szCs w:val="22"/>
              </w:rPr>
              <w:t>Cấp 3</w:t>
            </w:r>
          </w:p>
        </w:tc>
        <w:tc>
          <w:tcPr>
            <w:tcW w:w="913" w:type="dxa"/>
            <w:vAlign w:val="center"/>
          </w:tcPr>
          <w:p w:rsidR="00920940" w:rsidRPr="002556F0" w:rsidRDefault="00920940" w:rsidP="006C74D8">
            <w:pPr>
              <w:jc w:val="center"/>
              <w:rPr>
                <w:b/>
                <w:sz w:val="22"/>
                <w:szCs w:val="22"/>
              </w:rPr>
            </w:pPr>
            <w:r w:rsidRPr="002556F0">
              <w:rPr>
                <w:b/>
                <w:sz w:val="22"/>
                <w:szCs w:val="22"/>
              </w:rPr>
              <w:t>Cấp 4</w:t>
            </w:r>
          </w:p>
        </w:tc>
        <w:tc>
          <w:tcPr>
            <w:tcW w:w="1133" w:type="dxa"/>
            <w:vAlign w:val="center"/>
          </w:tcPr>
          <w:p w:rsidR="00920940" w:rsidRPr="002556F0" w:rsidRDefault="00920940" w:rsidP="006C74D8">
            <w:pPr>
              <w:jc w:val="center"/>
              <w:rPr>
                <w:b/>
                <w:sz w:val="22"/>
                <w:szCs w:val="22"/>
              </w:rPr>
            </w:pPr>
            <w:r w:rsidRPr="002556F0">
              <w:rPr>
                <w:b/>
                <w:sz w:val="22"/>
                <w:szCs w:val="22"/>
              </w:rPr>
              <w:t>Cấp 5</w:t>
            </w:r>
          </w:p>
        </w:tc>
        <w:tc>
          <w:tcPr>
            <w:tcW w:w="647" w:type="dxa"/>
            <w:vAlign w:val="center"/>
          </w:tcPr>
          <w:p w:rsidR="00920940" w:rsidRPr="002556F0" w:rsidRDefault="00920940" w:rsidP="006C74D8">
            <w:pPr>
              <w:jc w:val="center"/>
              <w:rPr>
                <w:b/>
                <w:sz w:val="22"/>
                <w:szCs w:val="22"/>
              </w:rPr>
            </w:pPr>
            <w:r w:rsidRPr="002556F0">
              <w:rPr>
                <w:b/>
                <w:sz w:val="22"/>
                <w:szCs w:val="22"/>
              </w:rPr>
              <w:t>Cấp 6</w:t>
            </w:r>
          </w:p>
        </w:tc>
        <w:tc>
          <w:tcPr>
            <w:tcW w:w="2410" w:type="dxa"/>
            <w:vMerge/>
            <w:vAlign w:val="center"/>
          </w:tcPr>
          <w:p w:rsidR="00920940" w:rsidRPr="002556F0" w:rsidRDefault="00920940" w:rsidP="006C74D8">
            <w:pPr>
              <w:jc w:val="right"/>
              <w:rPr>
                <w:sz w:val="22"/>
                <w:szCs w:val="22"/>
              </w:rPr>
            </w:pPr>
          </w:p>
        </w:tc>
        <w:tc>
          <w:tcPr>
            <w:tcW w:w="850" w:type="dxa"/>
            <w:vMerge/>
            <w:vAlign w:val="center"/>
          </w:tcPr>
          <w:p w:rsidR="00920940" w:rsidRPr="002556F0" w:rsidRDefault="00920940" w:rsidP="006C74D8">
            <w:pPr>
              <w:jc w:val="right"/>
              <w:rPr>
                <w:sz w:val="22"/>
                <w:szCs w:val="22"/>
              </w:rPr>
            </w:pPr>
          </w:p>
        </w:tc>
        <w:tc>
          <w:tcPr>
            <w:tcW w:w="1559" w:type="dxa"/>
            <w:vMerge/>
            <w:vAlign w:val="center"/>
          </w:tcPr>
          <w:p w:rsidR="00920940" w:rsidRPr="002556F0" w:rsidRDefault="00920940" w:rsidP="006C74D8">
            <w:pPr>
              <w:jc w:val="right"/>
              <w:rPr>
                <w:sz w:val="22"/>
                <w:szCs w:val="22"/>
              </w:rPr>
            </w:pPr>
          </w:p>
        </w:tc>
        <w:tc>
          <w:tcPr>
            <w:tcW w:w="1985" w:type="dxa"/>
            <w:vMerge/>
            <w:vAlign w:val="center"/>
          </w:tcPr>
          <w:p w:rsidR="00920940" w:rsidRPr="002556F0" w:rsidRDefault="00920940" w:rsidP="006C74D8">
            <w:pPr>
              <w:jc w:val="right"/>
              <w:rPr>
                <w:sz w:val="22"/>
                <w:szCs w:val="22"/>
              </w:rPr>
            </w:pPr>
          </w:p>
        </w:tc>
        <w:tc>
          <w:tcPr>
            <w:tcW w:w="2693" w:type="dxa"/>
            <w:vMerge/>
            <w:vAlign w:val="center"/>
          </w:tcPr>
          <w:p w:rsidR="00920940" w:rsidRPr="002556F0" w:rsidRDefault="00920940" w:rsidP="006C74D8">
            <w:pPr>
              <w:jc w:val="right"/>
              <w:rPr>
                <w:sz w:val="22"/>
                <w:szCs w:val="22"/>
              </w:rPr>
            </w:pPr>
          </w:p>
        </w:tc>
      </w:tr>
      <w:tr w:rsidR="00920940" w:rsidRPr="002556F0" w:rsidTr="00920940">
        <w:tc>
          <w:tcPr>
            <w:tcW w:w="610" w:type="dxa"/>
            <w:vAlign w:val="center"/>
          </w:tcPr>
          <w:p w:rsidR="00920940" w:rsidRPr="002556F0" w:rsidRDefault="00920940" w:rsidP="006C74D8">
            <w:pPr>
              <w:tabs>
                <w:tab w:val="left" w:pos="1701"/>
              </w:tabs>
              <w:spacing w:before="40" w:after="40"/>
              <w:jc w:val="center"/>
              <w:rPr>
                <w:b/>
                <w:sz w:val="22"/>
                <w:szCs w:val="22"/>
              </w:rPr>
            </w:pPr>
            <w:r w:rsidRPr="002556F0">
              <w:rPr>
                <w:b/>
                <w:sz w:val="22"/>
                <w:szCs w:val="22"/>
              </w:rPr>
              <w:t>II</w:t>
            </w:r>
          </w:p>
        </w:tc>
        <w:tc>
          <w:tcPr>
            <w:tcW w:w="608" w:type="dxa"/>
            <w:vAlign w:val="center"/>
          </w:tcPr>
          <w:p w:rsidR="00920940" w:rsidRPr="002556F0" w:rsidRDefault="00920940" w:rsidP="006C74D8">
            <w:pPr>
              <w:tabs>
                <w:tab w:val="left" w:pos="1701"/>
              </w:tabs>
              <w:spacing w:before="40" w:after="40"/>
              <w:jc w:val="center"/>
              <w:rPr>
                <w:b/>
                <w:sz w:val="22"/>
                <w:szCs w:val="22"/>
              </w:rPr>
            </w:pPr>
          </w:p>
        </w:tc>
        <w:tc>
          <w:tcPr>
            <w:tcW w:w="904" w:type="dxa"/>
            <w:vAlign w:val="center"/>
          </w:tcPr>
          <w:p w:rsidR="00920940" w:rsidRPr="002556F0" w:rsidRDefault="00920940" w:rsidP="006C74D8">
            <w:pPr>
              <w:jc w:val="center"/>
              <w:rPr>
                <w:b/>
                <w:sz w:val="22"/>
                <w:szCs w:val="22"/>
              </w:rPr>
            </w:pPr>
          </w:p>
        </w:tc>
        <w:tc>
          <w:tcPr>
            <w:tcW w:w="913" w:type="dxa"/>
            <w:vAlign w:val="center"/>
          </w:tcPr>
          <w:p w:rsidR="00920940" w:rsidRPr="002556F0" w:rsidRDefault="00920940" w:rsidP="006C74D8">
            <w:pPr>
              <w:jc w:val="center"/>
              <w:rPr>
                <w:b/>
                <w:sz w:val="22"/>
                <w:szCs w:val="22"/>
              </w:rPr>
            </w:pPr>
          </w:p>
        </w:tc>
        <w:tc>
          <w:tcPr>
            <w:tcW w:w="1133" w:type="dxa"/>
            <w:vAlign w:val="center"/>
          </w:tcPr>
          <w:p w:rsidR="00920940" w:rsidRPr="002556F0" w:rsidRDefault="00920940" w:rsidP="006C74D8">
            <w:pPr>
              <w:jc w:val="center"/>
              <w:rPr>
                <w:b/>
                <w:sz w:val="22"/>
                <w:szCs w:val="22"/>
              </w:rPr>
            </w:pPr>
          </w:p>
        </w:tc>
        <w:tc>
          <w:tcPr>
            <w:tcW w:w="647" w:type="dxa"/>
            <w:vAlign w:val="center"/>
          </w:tcPr>
          <w:p w:rsidR="00920940" w:rsidRPr="002556F0" w:rsidRDefault="00920940" w:rsidP="006C74D8">
            <w:pPr>
              <w:jc w:val="center"/>
              <w:rPr>
                <w:b/>
                <w:sz w:val="22"/>
                <w:szCs w:val="22"/>
              </w:rPr>
            </w:pPr>
          </w:p>
        </w:tc>
        <w:tc>
          <w:tcPr>
            <w:tcW w:w="2410" w:type="dxa"/>
            <w:vAlign w:val="center"/>
          </w:tcPr>
          <w:p w:rsidR="00920940" w:rsidRPr="002556F0" w:rsidRDefault="00920940" w:rsidP="006C74D8">
            <w:pPr>
              <w:jc w:val="both"/>
              <w:rPr>
                <w:b/>
                <w:sz w:val="22"/>
                <w:szCs w:val="22"/>
              </w:rPr>
            </w:pPr>
            <w:r w:rsidRPr="002556F0">
              <w:rPr>
                <w:b/>
                <w:sz w:val="22"/>
                <w:szCs w:val="22"/>
              </w:rPr>
              <w:t>Khoáng sản không kim loại</w:t>
            </w:r>
          </w:p>
        </w:tc>
        <w:tc>
          <w:tcPr>
            <w:tcW w:w="850" w:type="dxa"/>
            <w:vAlign w:val="center"/>
          </w:tcPr>
          <w:p w:rsidR="00920940" w:rsidRPr="002556F0" w:rsidRDefault="00920940" w:rsidP="006C74D8">
            <w:pPr>
              <w:jc w:val="center"/>
              <w:rPr>
                <w:b/>
                <w:sz w:val="22"/>
                <w:szCs w:val="22"/>
              </w:rPr>
            </w:pPr>
          </w:p>
        </w:tc>
        <w:tc>
          <w:tcPr>
            <w:tcW w:w="1559" w:type="dxa"/>
            <w:vAlign w:val="center"/>
          </w:tcPr>
          <w:p w:rsidR="00920940" w:rsidRPr="002556F0" w:rsidRDefault="00920940" w:rsidP="006C74D8">
            <w:pPr>
              <w:jc w:val="right"/>
              <w:rPr>
                <w:b/>
                <w:sz w:val="22"/>
                <w:szCs w:val="22"/>
              </w:rPr>
            </w:pPr>
          </w:p>
        </w:tc>
        <w:tc>
          <w:tcPr>
            <w:tcW w:w="1985" w:type="dxa"/>
            <w:vAlign w:val="center"/>
          </w:tcPr>
          <w:p w:rsidR="00920940" w:rsidRPr="002556F0" w:rsidRDefault="00920940" w:rsidP="006C74D8">
            <w:pPr>
              <w:jc w:val="right"/>
              <w:rPr>
                <w:b/>
                <w:sz w:val="22"/>
                <w:szCs w:val="22"/>
              </w:rPr>
            </w:pPr>
          </w:p>
        </w:tc>
        <w:tc>
          <w:tcPr>
            <w:tcW w:w="2693" w:type="dxa"/>
            <w:vAlign w:val="center"/>
          </w:tcPr>
          <w:p w:rsidR="00920940" w:rsidRPr="002556F0" w:rsidRDefault="00920940" w:rsidP="006C74D8">
            <w:pPr>
              <w:jc w:val="right"/>
              <w:rPr>
                <w:b/>
                <w:sz w:val="22"/>
                <w:szCs w:val="22"/>
              </w:rPr>
            </w:pPr>
          </w:p>
        </w:tc>
      </w:tr>
      <w:tr w:rsidR="00920940" w:rsidRPr="002556F0" w:rsidTr="00920940">
        <w:tc>
          <w:tcPr>
            <w:tcW w:w="610" w:type="dxa"/>
            <w:vAlign w:val="center"/>
          </w:tcPr>
          <w:p w:rsidR="00920940" w:rsidRPr="002556F0" w:rsidRDefault="00920940" w:rsidP="006C74D8">
            <w:pPr>
              <w:tabs>
                <w:tab w:val="left" w:pos="1701"/>
              </w:tabs>
              <w:spacing w:before="40" w:after="40"/>
              <w:jc w:val="center"/>
              <w:rPr>
                <w:sz w:val="22"/>
                <w:szCs w:val="22"/>
              </w:rPr>
            </w:pPr>
          </w:p>
        </w:tc>
        <w:tc>
          <w:tcPr>
            <w:tcW w:w="608" w:type="dxa"/>
            <w:vAlign w:val="center"/>
          </w:tcPr>
          <w:p w:rsidR="00920940" w:rsidRPr="00F06509" w:rsidRDefault="00920940" w:rsidP="006C74D8">
            <w:pPr>
              <w:tabs>
                <w:tab w:val="left" w:pos="1701"/>
              </w:tabs>
              <w:spacing w:before="40" w:after="40"/>
              <w:jc w:val="center"/>
              <w:rPr>
                <w:b/>
                <w:sz w:val="22"/>
                <w:szCs w:val="22"/>
              </w:rPr>
            </w:pPr>
            <w:r w:rsidRPr="00F06509">
              <w:rPr>
                <w:b/>
                <w:sz w:val="22"/>
                <w:szCs w:val="22"/>
              </w:rPr>
              <w:t>II1</w:t>
            </w:r>
          </w:p>
        </w:tc>
        <w:tc>
          <w:tcPr>
            <w:tcW w:w="904" w:type="dxa"/>
            <w:vAlign w:val="center"/>
          </w:tcPr>
          <w:p w:rsidR="00920940" w:rsidRPr="00F06509" w:rsidRDefault="00920940" w:rsidP="006C74D8">
            <w:pPr>
              <w:jc w:val="center"/>
              <w:rPr>
                <w:b/>
                <w:sz w:val="22"/>
                <w:szCs w:val="22"/>
              </w:rPr>
            </w:pPr>
          </w:p>
        </w:tc>
        <w:tc>
          <w:tcPr>
            <w:tcW w:w="913" w:type="dxa"/>
            <w:vAlign w:val="center"/>
          </w:tcPr>
          <w:p w:rsidR="00920940" w:rsidRPr="00F06509" w:rsidRDefault="00920940" w:rsidP="006C74D8">
            <w:pPr>
              <w:jc w:val="center"/>
              <w:rPr>
                <w:b/>
                <w:sz w:val="22"/>
                <w:szCs w:val="22"/>
              </w:rPr>
            </w:pPr>
          </w:p>
        </w:tc>
        <w:tc>
          <w:tcPr>
            <w:tcW w:w="1133" w:type="dxa"/>
            <w:vAlign w:val="center"/>
          </w:tcPr>
          <w:p w:rsidR="00920940" w:rsidRPr="00F06509" w:rsidRDefault="00920940" w:rsidP="006C74D8">
            <w:pPr>
              <w:jc w:val="center"/>
              <w:rPr>
                <w:b/>
                <w:sz w:val="22"/>
                <w:szCs w:val="22"/>
              </w:rPr>
            </w:pPr>
          </w:p>
        </w:tc>
        <w:tc>
          <w:tcPr>
            <w:tcW w:w="647" w:type="dxa"/>
            <w:vAlign w:val="center"/>
          </w:tcPr>
          <w:p w:rsidR="00920940" w:rsidRPr="00F06509" w:rsidRDefault="00920940" w:rsidP="006C74D8">
            <w:pPr>
              <w:jc w:val="center"/>
              <w:rPr>
                <w:b/>
                <w:sz w:val="22"/>
                <w:szCs w:val="22"/>
              </w:rPr>
            </w:pPr>
          </w:p>
        </w:tc>
        <w:tc>
          <w:tcPr>
            <w:tcW w:w="2410" w:type="dxa"/>
            <w:vAlign w:val="center"/>
          </w:tcPr>
          <w:p w:rsidR="00920940" w:rsidRPr="00F06509" w:rsidRDefault="00920940" w:rsidP="006C74D8">
            <w:pPr>
              <w:jc w:val="both"/>
              <w:rPr>
                <w:b/>
                <w:sz w:val="22"/>
                <w:szCs w:val="22"/>
              </w:rPr>
            </w:pPr>
            <w:r w:rsidRPr="00F06509">
              <w:rPr>
                <w:b/>
                <w:sz w:val="22"/>
                <w:szCs w:val="22"/>
              </w:rPr>
              <w:t>Đất khai thác để san lấp, xây dựng công trình</w:t>
            </w:r>
          </w:p>
        </w:tc>
        <w:tc>
          <w:tcPr>
            <w:tcW w:w="850" w:type="dxa"/>
            <w:vAlign w:val="center"/>
          </w:tcPr>
          <w:p w:rsidR="00920940" w:rsidRPr="002556F0" w:rsidRDefault="00920940" w:rsidP="006C74D8">
            <w:pPr>
              <w:jc w:val="center"/>
              <w:rPr>
                <w:sz w:val="22"/>
                <w:szCs w:val="22"/>
              </w:rPr>
            </w:pPr>
            <w:r>
              <w:rPr>
                <w:sz w:val="22"/>
                <w:szCs w:val="22"/>
              </w:rPr>
              <w:t>m</w:t>
            </w:r>
            <w:r w:rsidRPr="00841FE3">
              <w:rPr>
                <w:sz w:val="22"/>
                <w:szCs w:val="22"/>
                <w:vertAlign w:val="superscript"/>
              </w:rPr>
              <w:t>3</w:t>
            </w:r>
          </w:p>
        </w:tc>
        <w:tc>
          <w:tcPr>
            <w:tcW w:w="1559" w:type="dxa"/>
            <w:vAlign w:val="center"/>
          </w:tcPr>
          <w:p w:rsidR="00920940" w:rsidRDefault="00920940" w:rsidP="006C74D8">
            <w:pPr>
              <w:jc w:val="right"/>
              <w:rPr>
                <w:sz w:val="22"/>
                <w:szCs w:val="22"/>
              </w:rPr>
            </w:pPr>
            <w:r>
              <w:rPr>
                <w:sz w:val="22"/>
                <w:szCs w:val="22"/>
              </w:rPr>
              <w:t>70.742</w:t>
            </w:r>
          </w:p>
        </w:tc>
        <w:tc>
          <w:tcPr>
            <w:tcW w:w="1985" w:type="dxa"/>
            <w:vAlign w:val="center"/>
          </w:tcPr>
          <w:p w:rsidR="00920940" w:rsidRPr="002556F0" w:rsidRDefault="00920940" w:rsidP="006C74D8">
            <w:pPr>
              <w:jc w:val="right"/>
              <w:rPr>
                <w:sz w:val="22"/>
                <w:szCs w:val="22"/>
              </w:rPr>
            </w:pPr>
            <w:r>
              <w:rPr>
                <w:sz w:val="22"/>
                <w:szCs w:val="22"/>
              </w:rPr>
              <w:t>70.742</w:t>
            </w:r>
          </w:p>
        </w:tc>
        <w:tc>
          <w:tcPr>
            <w:tcW w:w="2693" w:type="dxa"/>
            <w:vAlign w:val="center"/>
          </w:tcPr>
          <w:p w:rsidR="00920940" w:rsidRDefault="00920940" w:rsidP="006C74D8">
            <w:pPr>
              <w:jc w:val="right"/>
              <w:rPr>
                <w:sz w:val="22"/>
                <w:szCs w:val="22"/>
              </w:rPr>
            </w:pPr>
          </w:p>
        </w:tc>
      </w:tr>
      <w:tr w:rsidR="00920940" w:rsidRPr="002556F0" w:rsidTr="00920940">
        <w:tc>
          <w:tcPr>
            <w:tcW w:w="610" w:type="dxa"/>
            <w:vAlign w:val="center"/>
          </w:tcPr>
          <w:p w:rsidR="00920940" w:rsidRPr="00105625" w:rsidRDefault="00920940" w:rsidP="006C74D8">
            <w:pPr>
              <w:tabs>
                <w:tab w:val="left" w:pos="1701"/>
              </w:tabs>
              <w:spacing w:before="40" w:after="40"/>
              <w:jc w:val="center"/>
              <w:rPr>
                <w:sz w:val="22"/>
                <w:szCs w:val="22"/>
              </w:rPr>
            </w:pPr>
          </w:p>
        </w:tc>
        <w:tc>
          <w:tcPr>
            <w:tcW w:w="608" w:type="dxa"/>
            <w:vAlign w:val="center"/>
          </w:tcPr>
          <w:p w:rsidR="00920940" w:rsidRPr="00105625" w:rsidRDefault="00920940" w:rsidP="006C74D8">
            <w:pPr>
              <w:tabs>
                <w:tab w:val="left" w:pos="1701"/>
              </w:tabs>
              <w:spacing w:before="40" w:after="40"/>
              <w:jc w:val="center"/>
              <w:rPr>
                <w:sz w:val="22"/>
                <w:szCs w:val="22"/>
              </w:rPr>
            </w:pPr>
          </w:p>
        </w:tc>
        <w:tc>
          <w:tcPr>
            <w:tcW w:w="904" w:type="dxa"/>
            <w:vAlign w:val="center"/>
          </w:tcPr>
          <w:p w:rsidR="00920940" w:rsidRPr="00105625" w:rsidRDefault="00920940" w:rsidP="006C74D8">
            <w:pPr>
              <w:jc w:val="center"/>
              <w:rPr>
                <w:sz w:val="22"/>
                <w:szCs w:val="22"/>
              </w:rPr>
            </w:pPr>
            <w:r>
              <w:rPr>
                <w:sz w:val="22"/>
                <w:szCs w:val="22"/>
              </w:rPr>
              <w:t>II102</w:t>
            </w:r>
          </w:p>
        </w:tc>
        <w:tc>
          <w:tcPr>
            <w:tcW w:w="913" w:type="dxa"/>
            <w:vAlign w:val="center"/>
          </w:tcPr>
          <w:p w:rsidR="00920940" w:rsidRPr="00105625" w:rsidRDefault="00920940" w:rsidP="006C74D8">
            <w:pPr>
              <w:jc w:val="center"/>
              <w:rPr>
                <w:sz w:val="22"/>
                <w:szCs w:val="22"/>
              </w:rPr>
            </w:pPr>
          </w:p>
        </w:tc>
        <w:tc>
          <w:tcPr>
            <w:tcW w:w="1133" w:type="dxa"/>
            <w:vAlign w:val="center"/>
          </w:tcPr>
          <w:p w:rsidR="00920940" w:rsidRPr="00105625" w:rsidRDefault="00920940" w:rsidP="006C74D8">
            <w:pPr>
              <w:jc w:val="center"/>
              <w:rPr>
                <w:sz w:val="22"/>
                <w:szCs w:val="22"/>
              </w:rPr>
            </w:pPr>
          </w:p>
        </w:tc>
        <w:tc>
          <w:tcPr>
            <w:tcW w:w="647" w:type="dxa"/>
            <w:vAlign w:val="center"/>
          </w:tcPr>
          <w:p w:rsidR="00920940" w:rsidRPr="00105625" w:rsidRDefault="00920940" w:rsidP="006C74D8">
            <w:pPr>
              <w:jc w:val="center"/>
              <w:rPr>
                <w:sz w:val="22"/>
                <w:szCs w:val="22"/>
              </w:rPr>
            </w:pPr>
          </w:p>
        </w:tc>
        <w:tc>
          <w:tcPr>
            <w:tcW w:w="2410" w:type="dxa"/>
            <w:vAlign w:val="center"/>
          </w:tcPr>
          <w:p w:rsidR="00920940" w:rsidRPr="00105625" w:rsidRDefault="00920940" w:rsidP="006C74D8">
            <w:pPr>
              <w:jc w:val="both"/>
              <w:rPr>
                <w:sz w:val="22"/>
                <w:szCs w:val="22"/>
              </w:rPr>
            </w:pPr>
            <w:r w:rsidRPr="00105625">
              <w:rPr>
                <w:sz w:val="22"/>
                <w:szCs w:val="22"/>
              </w:rPr>
              <w:t>Đất sỏi phún phục vụ thi công đường giao thông, dân dụng, công nghiệp</w:t>
            </w:r>
          </w:p>
        </w:tc>
        <w:tc>
          <w:tcPr>
            <w:tcW w:w="850" w:type="dxa"/>
            <w:vAlign w:val="center"/>
          </w:tcPr>
          <w:p w:rsidR="00920940" w:rsidRPr="002556F0" w:rsidRDefault="00920940" w:rsidP="006C74D8">
            <w:pPr>
              <w:jc w:val="center"/>
              <w:rPr>
                <w:sz w:val="22"/>
                <w:szCs w:val="22"/>
              </w:rPr>
            </w:pPr>
            <w:r>
              <w:rPr>
                <w:sz w:val="22"/>
                <w:szCs w:val="22"/>
              </w:rPr>
              <w:t>m</w:t>
            </w:r>
            <w:r w:rsidRPr="00841FE3">
              <w:rPr>
                <w:sz w:val="22"/>
                <w:szCs w:val="22"/>
                <w:vertAlign w:val="superscript"/>
              </w:rPr>
              <w:t>3</w:t>
            </w:r>
          </w:p>
        </w:tc>
        <w:tc>
          <w:tcPr>
            <w:tcW w:w="1559" w:type="dxa"/>
            <w:vAlign w:val="center"/>
          </w:tcPr>
          <w:p w:rsidR="00920940" w:rsidRDefault="00920940" w:rsidP="006C74D8">
            <w:pPr>
              <w:jc w:val="right"/>
              <w:rPr>
                <w:sz w:val="22"/>
                <w:szCs w:val="22"/>
              </w:rPr>
            </w:pPr>
            <w:r>
              <w:rPr>
                <w:sz w:val="22"/>
                <w:szCs w:val="22"/>
              </w:rPr>
              <w:t>70.742</w:t>
            </w:r>
          </w:p>
        </w:tc>
        <w:tc>
          <w:tcPr>
            <w:tcW w:w="1985" w:type="dxa"/>
            <w:vAlign w:val="center"/>
          </w:tcPr>
          <w:p w:rsidR="00920940" w:rsidRPr="002556F0" w:rsidRDefault="00920940" w:rsidP="006C74D8">
            <w:pPr>
              <w:jc w:val="right"/>
              <w:rPr>
                <w:sz w:val="22"/>
                <w:szCs w:val="22"/>
              </w:rPr>
            </w:pPr>
            <w:r>
              <w:rPr>
                <w:sz w:val="22"/>
                <w:szCs w:val="22"/>
              </w:rPr>
              <w:t>70.742</w:t>
            </w:r>
          </w:p>
        </w:tc>
        <w:tc>
          <w:tcPr>
            <w:tcW w:w="2693" w:type="dxa"/>
            <w:vAlign w:val="center"/>
          </w:tcPr>
          <w:p w:rsidR="00920940" w:rsidRDefault="00920940" w:rsidP="006C74D8">
            <w:pPr>
              <w:jc w:val="right"/>
              <w:rPr>
                <w:sz w:val="22"/>
                <w:szCs w:val="22"/>
              </w:rPr>
            </w:pPr>
          </w:p>
        </w:tc>
      </w:tr>
      <w:tr w:rsidR="00920940" w:rsidRPr="002556F0" w:rsidTr="00920940">
        <w:tc>
          <w:tcPr>
            <w:tcW w:w="610" w:type="dxa"/>
            <w:vAlign w:val="center"/>
          </w:tcPr>
          <w:p w:rsidR="00920940" w:rsidRPr="002556F0" w:rsidRDefault="00920940" w:rsidP="006C74D8">
            <w:pPr>
              <w:tabs>
                <w:tab w:val="left" w:pos="1701"/>
              </w:tabs>
              <w:spacing w:before="40" w:after="40"/>
              <w:jc w:val="center"/>
              <w:rPr>
                <w:sz w:val="22"/>
                <w:szCs w:val="22"/>
              </w:rPr>
            </w:pPr>
          </w:p>
        </w:tc>
        <w:tc>
          <w:tcPr>
            <w:tcW w:w="608" w:type="dxa"/>
            <w:vAlign w:val="center"/>
          </w:tcPr>
          <w:p w:rsidR="00920940" w:rsidRPr="00F06509" w:rsidRDefault="00920940" w:rsidP="006C74D8">
            <w:pPr>
              <w:tabs>
                <w:tab w:val="left" w:pos="1701"/>
              </w:tabs>
              <w:spacing w:before="40" w:after="40"/>
              <w:jc w:val="center"/>
              <w:rPr>
                <w:b/>
                <w:sz w:val="22"/>
                <w:szCs w:val="22"/>
              </w:rPr>
            </w:pPr>
            <w:r w:rsidRPr="00F06509">
              <w:rPr>
                <w:b/>
                <w:sz w:val="22"/>
                <w:szCs w:val="22"/>
              </w:rPr>
              <w:t>II2</w:t>
            </w:r>
          </w:p>
        </w:tc>
        <w:tc>
          <w:tcPr>
            <w:tcW w:w="904" w:type="dxa"/>
            <w:vAlign w:val="center"/>
          </w:tcPr>
          <w:p w:rsidR="00920940" w:rsidRPr="002556F0" w:rsidRDefault="00920940" w:rsidP="006C74D8">
            <w:pPr>
              <w:jc w:val="center"/>
              <w:rPr>
                <w:sz w:val="22"/>
                <w:szCs w:val="22"/>
              </w:rPr>
            </w:pPr>
          </w:p>
        </w:tc>
        <w:tc>
          <w:tcPr>
            <w:tcW w:w="913" w:type="dxa"/>
            <w:vAlign w:val="center"/>
          </w:tcPr>
          <w:p w:rsidR="00920940" w:rsidRPr="002556F0" w:rsidRDefault="00920940" w:rsidP="006C74D8">
            <w:pPr>
              <w:jc w:val="center"/>
              <w:rPr>
                <w:sz w:val="22"/>
                <w:szCs w:val="22"/>
              </w:rPr>
            </w:pPr>
          </w:p>
        </w:tc>
        <w:tc>
          <w:tcPr>
            <w:tcW w:w="1133" w:type="dxa"/>
            <w:vAlign w:val="center"/>
          </w:tcPr>
          <w:p w:rsidR="00920940" w:rsidRPr="002556F0" w:rsidRDefault="00920940" w:rsidP="006C74D8">
            <w:pPr>
              <w:jc w:val="center"/>
              <w:rPr>
                <w:sz w:val="22"/>
                <w:szCs w:val="22"/>
              </w:rPr>
            </w:pPr>
          </w:p>
        </w:tc>
        <w:tc>
          <w:tcPr>
            <w:tcW w:w="647" w:type="dxa"/>
            <w:vAlign w:val="center"/>
          </w:tcPr>
          <w:p w:rsidR="00920940" w:rsidRPr="002556F0" w:rsidRDefault="00920940" w:rsidP="006C74D8">
            <w:pPr>
              <w:jc w:val="center"/>
              <w:rPr>
                <w:sz w:val="22"/>
                <w:szCs w:val="22"/>
              </w:rPr>
            </w:pPr>
          </w:p>
        </w:tc>
        <w:tc>
          <w:tcPr>
            <w:tcW w:w="2410" w:type="dxa"/>
            <w:vAlign w:val="center"/>
          </w:tcPr>
          <w:p w:rsidR="00920940" w:rsidRPr="00F06509" w:rsidRDefault="00920940" w:rsidP="006C74D8">
            <w:pPr>
              <w:jc w:val="both"/>
              <w:rPr>
                <w:b/>
                <w:sz w:val="22"/>
                <w:szCs w:val="22"/>
              </w:rPr>
            </w:pPr>
            <w:r w:rsidRPr="00F06509">
              <w:rPr>
                <w:b/>
                <w:sz w:val="22"/>
                <w:szCs w:val="22"/>
              </w:rPr>
              <w:t>Đá, sỏi</w:t>
            </w:r>
          </w:p>
        </w:tc>
        <w:tc>
          <w:tcPr>
            <w:tcW w:w="850" w:type="dxa"/>
            <w:vAlign w:val="center"/>
          </w:tcPr>
          <w:p w:rsidR="00920940" w:rsidRPr="002556F0" w:rsidRDefault="00920940" w:rsidP="006C74D8">
            <w:pPr>
              <w:jc w:val="center"/>
              <w:rPr>
                <w:sz w:val="22"/>
                <w:szCs w:val="22"/>
              </w:rPr>
            </w:pPr>
          </w:p>
        </w:tc>
        <w:tc>
          <w:tcPr>
            <w:tcW w:w="1559" w:type="dxa"/>
            <w:vAlign w:val="center"/>
          </w:tcPr>
          <w:p w:rsidR="00920940" w:rsidRPr="002556F0" w:rsidRDefault="00920940" w:rsidP="006C74D8">
            <w:pPr>
              <w:jc w:val="right"/>
              <w:rPr>
                <w:sz w:val="22"/>
                <w:szCs w:val="22"/>
              </w:rPr>
            </w:pPr>
          </w:p>
        </w:tc>
        <w:tc>
          <w:tcPr>
            <w:tcW w:w="1985" w:type="dxa"/>
            <w:vAlign w:val="center"/>
          </w:tcPr>
          <w:p w:rsidR="00920940" w:rsidRPr="002556F0" w:rsidRDefault="00920940" w:rsidP="006C74D8">
            <w:pPr>
              <w:jc w:val="right"/>
              <w:rPr>
                <w:sz w:val="22"/>
                <w:szCs w:val="22"/>
              </w:rPr>
            </w:pPr>
          </w:p>
        </w:tc>
        <w:tc>
          <w:tcPr>
            <w:tcW w:w="2693" w:type="dxa"/>
            <w:vAlign w:val="center"/>
          </w:tcPr>
          <w:p w:rsidR="00920940" w:rsidRPr="002556F0" w:rsidRDefault="00920940" w:rsidP="006C74D8">
            <w:pPr>
              <w:jc w:val="right"/>
              <w:rPr>
                <w:sz w:val="22"/>
                <w:szCs w:val="22"/>
              </w:rPr>
            </w:pPr>
          </w:p>
        </w:tc>
      </w:tr>
      <w:tr w:rsidR="00920940" w:rsidRPr="002556F0" w:rsidTr="00920940">
        <w:tc>
          <w:tcPr>
            <w:tcW w:w="610" w:type="dxa"/>
            <w:vAlign w:val="center"/>
          </w:tcPr>
          <w:p w:rsidR="00920940" w:rsidRPr="002556F0" w:rsidRDefault="00920940" w:rsidP="006C74D8">
            <w:pPr>
              <w:tabs>
                <w:tab w:val="left" w:pos="1701"/>
              </w:tabs>
              <w:spacing w:before="40" w:after="40"/>
              <w:jc w:val="center"/>
              <w:rPr>
                <w:sz w:val="22"/>
                <w:szCs w:val="22"/>
              </w:rPr>
            </w:pPr>
          </w:p>
        </w:tc>
        <w:tc>
          <w:tcPr>
            <w:tcW w:w="608" w:type="dxa"/>
            <w:vAlign w:val="center"/>
          </w:tcPr>
          <w:p w:rsidR="00920940" w:rsidRPr="002556F0" w:rsidRDefault="00920940" w:rsidP="006C74D8">
            <w:pPr>
              <w:tabs>
                <w:tab w:val="left" w:pos="1701"/>
              </w:tabs>
              <w:spacing w:before="40" w:after="40"/>
              <w:jc w:val="center"/>
              <w:rPr>
                <w:sz w:val="22"/>
                <w:szCs w:val="22"/>
              </w:rPr>
            </w:pPr>
          </w:p>
        </w:tc>
        <w:tc>
          <w:tcPr>
            <w:tcW w:w="904" w:type="dxa"/>
            <w:vAlign w:val="center"/>
          </w:tcPr>
          <w:p w:rsidR="00920940" w:rsidRPr="002556F0" w:rsidRDefault="00920940" w:rsidP="006C74D8">
            <w:pPr>
              <w:jc w:val="center"/>
              <w:rPr>
                <w:sz w:val="22"/>
                <w:szCs w:val="22"/>
              </w:rPr>
            </w:pPr>
            <w:r>
              <w:rPr>
                <w:sz w:val="22"/>
                <w:szCs w:val="22"/>
              </w:rPr>
              <w:t>II202</w:t>
            </w:r>
          </w:p>
        </w:tc>
        <w:tc>
          <w:tcPr>
            <w:tcW w:w="913" w:type="dxa"/>
            <w:vAlign w:val="center"/>
          </w:tcPr>
          <w:p w:rsidR="00920940" w:rsidRPr="002556F0" w:rsidRDefault="00920940" w:rsidP="006C74D8">
            <w:pPr>
              <w:jc w:val="center"/>
              <w:rPr>
                <w:sz w:val="22"/>
                <w:szCs w:val="22"/>
              </w:rPr>
            </w:pPr>
          </w:p>
        </w:tc>
        <w:tc>
          <w:tcPr>
            <w:tcW w:w="1133" w:type="dxa"/>
            <w:vAlign w:val="center"/>
          </w:tcPr>
          <w:p w:rsidR="00920940" w:rsidRPr="002556F0" w:rsidRDefault="00920940" w:rsidP="006C74D8">
            <w:pPr>
              <w:jc w:val="center"/>
              <w:rPr>
                <w:sz w:val="22"/>
                <w:szCs w:val="22"/>
              </w:rPr>
            </w:pPr>
          </w:p>
        </w:tc>
        <w:tc>
          <w:tcPr>
            <w:tcW w:w="647" w:type="dxa"/>
            <w:vAlign w:val="center"/>
          </w:tcPr>
          <w:p w:rsidR="00920940" w:rsidRPr="002556F0" w:rsidRDefault="00920940" w:rsidP="006C74D8">
            <w:pPr>
              <w:jc w:val="center"/>
              <w:rPr>
                <w:sz w:val="22"/>
                <w:szCs w:val="22"/>
              </w:rPr>
            </w:pPr>
          </w:p>
        </w:tc>
        <w:tc>
          <w:tcPr>
            <w:tcW w:w="2410" w:type="dxa"/>
            <w:vAlign w:val="center"/>
          </w:tcPr>
          <w:p w:rsidR="00920940" w:rsidRPr="002556F0" w:rsidRDefault="00920940" w:rsidP="006C74D8">
            <w:pPr>
              <w:jc w:val="both"/>
              <w:rPr>
                <w:sz w:val="22"/>
                <w:szCs w:val="22"/>
              </w:rPr>
            </w:pPr>
            <w:r>
              <w:rPr>
                <w:sz w:val="22"/>
                <w:szCs w:val="22"/>
              </w:rPr>
              <w:t>Đá</w:t>
            </w:r>
          </w:p>
        </w:tc>
        <w:tc>
          <w:tcPr>
            <w:tcW w:w="850" w:type="dxa"/>
            <w:vAlign w:val="center"/>
          </w:tcPr>
          <w:p w:rsidR="00920940" w:rsidRPr="002556F0" w:rsidRDefault="00920940" w:rsidP="006C74D8">
            <w:pPr>
              <w:jc w:val="center"/>
              <w:rPr>
                <w:sz w:val="22"/>
                <w:szCs w:val="22"/>
              </w:rPr>
            </w:pPr>
          </w:p>
        </w:tc>
        <w:tc>
          <w:tcPr>
            <w:tcW w:w="1559" w:type="dxa"/>
            <w:vAlign w:val="center"/>
          </w:tcPr>
          <w:p w:rsidR="00920940" w:rsidRPr="002556F0" w:rsidRDefault="00920940" w:rsidP="006C74D8">
            <w:pPr>
              <w:jc w:val="right"/>
              <w:rPr>
                <w:sz w:val="22"/>
                <w:szCs w:val="22"/>
              </w:rPr>
            </w:pPr>
          </w:p>
        </w:tc>
        <w:tc>
          <w:tcPr>
            <w:tcW w:w="1985" w:type="dxa"/>
            <w:vAlign w:val="center"/>
          </w:tcPr>
          <w:p w:rsidR="00920940" w:rsidRPr="002556F0" w:rsidRDefault="00920940" w:rsidP="006C74D8">
            <w:pPr>
              <w:jc w:val="right"/>
              <w:rPr>
                <w:sz w:val="22"/>
                <w:szCs w:val="22"/>
              </w:rPr>
            </w:pPr>
          </w:p>
        </w:tc>
        <w:tc>
          <w:tcPr>
            <w:tcW w:w="2693" w:type="dxa"/>
            <w:vAlign w:val="center"/>
          </w:tcPr>
          <w:p w:rsidR="00920940" w:rsidRPr="002556F0" w:rsidRDefault="00920940" w:rsidP="006C74D8">
            <w:pPr>
              <w:jc w:val="right"/>
              <w:rPr>
                <w:sz w:val="22"/>
                <w:szCs w:val="22"/>
              </w:rPr>
            </w:pPr>
          </w:p>
        </w:tc>
      </w:tr>
      <w:tr w:rsidR="00920940" w:rsidRPr="002556F0" w:rsidTr="00920940">
        <w:tc>
          <w:tcPr>
            <w:tcW w:w="610" w:type="dxa"/>
            <w:vAlign w:val="center"/>
          </w:tcPr>
          <w:p w:rsidR="00920940" w:rsidRPr="002556F0" w:rsidRDefault="00920940" w:rsidP="006C74D8">
            <w:pPr>
              <w:tabs>
                <w:tab w:val="left" w:pos="1701"/>
              </w:tabs>
              <w:spacing w:before="40" w:after="40"/>
              <w:jc w:val="center"/>
              <w:rPr>
                <w:sz w:val="22"/>
                <w:szCs w:val="22"/>
              </w:rPr>
            </w:pPr>
          </w:p>
        </w:tc>
        <w:tc>
          <w:tcPr>
            <w:tcW w:w="608" w:type="dxa"/>
            <w:vAlign w:val="center"/>
          </w:tcPr>
          <w:p w:rsidR="00920940" w:rsidRPr="002556F0" w:rsidRDefault="00920940" w:rsidP="006C74D8">
            <w:pPr>
              <w:tabs>
                <w:tab w:val="left" w:pos="1701"/>
              </w:tabs>
              <w:spacing w:before="40" w:after="40"/>
              <w:jc w:val="center"/>
              <w:rPr>
                <w:sz w:val="22"/>
                <w:szCs w:val="22"/>
              </w:rPr>
            </w:pPr>
          </w:p>
        </w:tc>
        <w:tc>
          <w:tcPr>
            <w:tcW w:w="904" w:type="dxa"/>
            <w:vAlign w:val="center"/>
          </w:tcPr>
          <w:p w:rsidR="00920940" w:rsidRPr="002556F0" w:rsidRDefault="00920940" w:rsidP="006C74D8">
            <w:pPr>
              <w:jc w:val="center"/>
              <w:rPr>
                <w:sz w:val="22"/>
                <w:szCs w:val="22"/>
              </w:rPr>
            </w:pPr>
          </w:p>
        </w:tc>
        <w:tc>
          <w:tcPr>
            <w:tcW w:w="913" w:type="dxa"/>
            <w:vAlign w:val="center"/>
          </w:tcPr>
          <w:p w:rsidR="00920940" w:rsidRPr="002556F0" w:rsidRDefault="00920940" w:rsidP="006C74D8">
            <w:pPr>
              <w:jc w:val="center"/>
              <w:rPr>
                <w:sz w:val="22"/>
                <w:szCs w:val="22"/>
              </w:rPr>
            </w:pPr>
            <w:r w:rsidRPr="00F06509">
              <w:rPr>
                <w:sz w:val="22"/>
                <w:szCs w:val="22"/>
              </w:rPr>
              <w:t>II20203</w:t>
            </w:r>
          </w:p>
        </w:tc>
        <w:tc>
          <w:tcPr>
            <w:tcW w:w="1133" w:type="dxa"/>
            <w:vAlign w:val="center"/>
          </w:tcPr>
          <w:p w:rsidR="00920940" w:rsidRPr="002556F0" w:rsidRDefault="00920940" w:rsidP="006C74D8">
            <w:pPr>
              <w:jc w:val="center"/>
              <w:rPr>
                <w:sz w:val="22"/>
                <w:szCs w:val="22"/>
              </w:rPr>
            </w:pPr>
          </w:p>
        </w:tc>
        <w:tc>
          <w:tcPr>
            <w:tcW w:w="647" w:type="dxa"/>
            <w:vAlign w:val="center"/>
          </w:tcPr>
          <w:p w:rsidR="00920940" w:rsidRPr="002556F0" w:rsidRDefault="00920940" w:rsidP="006C74D8">
            <w:pPr>
              <w:jc w:val="center"/>
              <w:rPr>
                <w:sz w:val="22"/>
                <w:szCs w:val="22"/>
              </w:rPr>
            </w:pPr>
          </w:p>
        </w:tc>
        <w:tc>
          <w:tcPr>
            <w:tcW w:w="2410" w:type="dxa"/>
            <w:vAlign w:val="center"/>
          </w:tcPr>
          <w:p w:rsidR="00920940" w:rsidRPr="002556F0" w:rsidRDefault="00920940" w:rsidP="006C74D8">
            <w:pPr>
              <w:jc w:val="both"/>
              <w:rPr>
                <w:sz w:val="22"/>
                <w:szCs w:val="22"/>
              </w:rPr>
            </w:pPr>
            <w:r w:rsidRPr="00F06509">
              <w:rPr>
                <w:sz w:val="22"/>
                <w:szCs w:val="22"/>
              </w:rPr>
              <w:t>Đá làm vật liệu xây dựng thông thường</w:t>
            </w:r>
          </w:p>
        </w:tc>
        <w:tc>
          <w:tcPr>
            <w:tcW w:w="850" w:type="dxa"/>
            <w:vAlign w:val="center"/>
          </w:tcPr>
          <w:p w:rsidR="00920940" w:rsidRPr="002556F0" w:rsidRDefault="00920940" w:rsidP="006C74D8">
            <w:pPr>
              <w:jc w:val="center"/>
              <w:rPr>
                <w:sz w:val="22"/>
                <w:szCs w:val="22"/>
              </w:rPr>
            </w:pPr>
          </w:p>
        </w:tc>
        <w:tc>
          <w:tcPr>
            <w:tcW w:w="1559" w:type="dxa"/>
            <w:vAlign w:val="center"/>
          </w:tcPr>
          <w:p w:rsidR="00920940" w:rsidRPr="002556F0" w:rsidRDefault="00920940" w:rsidP="006C74D8">
            <w:pPr>
              <w:jc w:val="right"/>
              <w:rPr>
                <w:sz w:val="22"/>
                <w:szCs w:val="22"/>
              </w:rPr>
            </w:pPr>
          </w:p>
        </w:tc>
        <w:tc>
          <w:tcPr>
            <w:tcW w:w="1985" w:type="dxa"/>
            <w:vAlign w:val="center"/>
          </w:tcPr>
          <w:p w:rsidR="00920940" w:rsidRPr="002556F0" w:rsidRDefault="00920940" w:rsidP="006C74D8">
            <w:pPr>
              <w:jc w:val="right"/>
              <w:rPr>
                <w:sz w:val="22"/>
                <w:szCs w:val="22"/>
              </w:rPr>
            </w:pPr>
          </w:p>
        </w:tc>
        <w:tc>
          <w:tcPr>
            <w:tcW w:w="2693" w:type="dxa"/>
            <w:vAlign w:val="center"/>
          </w:tcPr>
          <w:p w:rsidR="00920940" w:rsidRPr="002556F0" w:rsidRDefault="00920940" w:rsidP="006C74D8">
            <w:pPr>
              <w:jc w:val="right"/>
              <w:rPr>
                <w:sz w:val="22"/>
                <w:szCs w:val="22"/>
              </w:rPr>
            </w:pPr>
          </w:p>
        </w:tc>
      </w:tr>
      <w:tr w:rsidR="00920940" w:rsidRPr="002556F0" w:rsidTr="00920940">
        <w:tc>
          <w:tcPr>
            <w:tcW w:w="610" w:type="dxa"/>
            <w:vAlign w:val="center"/>
          </w:tcPr>
          <w:p w:rsidR="00920940" w:rsidRPr="002556F0" w:rsidRDefault="00920940" w:rsidP="006C74D8">
            <w:pPr>
              <w:tabs>
                <w:tab w:val="left" w:pos="1701"/>
              </w:tabs>
              <w:spacing w:before="40" w:after="40"/>
              <w:jc w:val="center"/>
              <w:rPr>
                <w:sz w:val="22"/>
                <w:szCs w:val="22"/>
              </w:rPr>
            </w:pPr>
          </w:p>
        </w:tc>
        <w:tc>
          <w:tcPr>
            <w:tcW w:w="608" w:type="dxa"/>
            <w:vAlign w:val="center"/>
          </w:tcPr>
          <w:p w:rsidR="00920940" w:rsidRPr="002556F0" w:rsidRDefault="00920940" w:rsidP="006C74D8">
            <w:pPr>
              <w:tabs>
                <w:tab w:val="left" w:pos="1701"/>
              </w:tabs>
              <w:spacing w:before="40" w:after="40"/>
              <w:jc w:val="center"/>
              <w:rPr>
                <w:sz w:val="22"/>
                <w:szCs w:val="22"/>
              </w:rPr>
            </w:pPr>
          </w:p>
        </w:tc>
        <w:tc>
          <w:tcPr>
            <w:tcW w:w="904" w:type="dxa"/>
            <w:vAlign w:val="center"/>
          </w:tcPr>
          <w:p w:rsidR="00920940" w:rsidRPr="002556F0" w:rsidRDefault="00920940" w:rsidP="006C74D8">
            <w:pPr>
              <w:jc w:val="center"/>
              <w:rPr>
                <w:sz w:val="22"/>
                <w:szCs w:val="22"/>
              </w:rPr>
            </w:pPr>
          </w:p>
        </w:tc>
        <w:tc>
          <w:tcPr>
            <w:tcW w:w="913" w:type="dxa"/>
            <w:vAlign w:val="center"/>
          </w:tcPr>
          <w:p w:rsidR="00920940" w:rsidRPr="002556F0" w:rsidRDefault="00920940" w:rsidP="006C74D8">
            <w:pPr>
              <w:jc w:val="center"/>
              <w:rPr>
                <w:sz w:val="22"/>
                <w:szCs w:val="22"/>
              </w:rPr>
            </w:pPr>
          </w:p>
        </w:tc>
        <w:tc>
          <w:tcPr>
            <w:tcW w:w="1133" w:type="dxa"/>
            <w:vAlign w:val="center"/>
          </w:tcPr>
          <w:p w:rsidR="00920940" w:rsidRPr="002556F0" w:rsidRDefault="00920940" w:rsidP="006C74D8">
            <w:pPr>
              <w:jc w:val="center"/>
              <w:rPr>
                <w:sz w:val="22"/>
                <w:szCs w:val="22"/>
              </w:rPr>
            </w:pPr>
            <w:r w:rsidRPr="00F06509">
              <w:rPr>
                <w:sz w:val="22"/>
                <w:szCs w:val="22"/>
              </w:rPr>
              <w:t>II2020301</w:t>
            </w:r>
          </w:p>
        </w:tc>
        <w:tc>
          <w:tcPr>
            <w:tcW w:w="647" w:type="dxa"/>
            <w:vAlign w:val="center"/>
          </w:tcPr>
          <w:p w:rsidR="00920940" w:rsidRPr="002556F0" w:rsidRDefault="00920940" w:rsidP="006C74D8">
            <w:pPr>
              <w:jc w:val="center"/>
              <w:rPr>
                <w:sz w:val="22"/>
                <w:szCs w:val="22"/>
              </w:rPr>
            </w:pPr>
          </w:p>
        </w:tc>
        <w:tc>
          <w:tcPr>
            <w:tcW w:w="2410" w:type="dxa"/>
            <w:vAlign w:val="center"/>
          </w:tcPr>
          <w:p w:rsidR="00920940" w:rsidRPr="002556F0" w:rsidRDefault="00920940" w:rsidP="006C74D8">
            <w:pPr>
              <w:jc w:val="both"/>
              <w:rPr>
                <w:sz w:val="22"/>
                <w:szCs w:val="22"/>
              </w:rPr>
            </w:pPr>
            <w:r w:rsidRPr="00F06509">
              <w:rPr>
                <w:sz w:val="22"/>
                <w:szCs w:val="22"/>
              </w:rPr>
              <w:t>Đá hỗn hợp sau nổ mìn, đá xô bồ (khoáng sản khai thác)</w:t>
            </w:r>
          </w:p>
        </w:tc>
        <w:tc>
          <w:tcPr>
            <w:tcW w:w="850" w:type="dxa"/>
            <w:vAlign w:val="center"/>
          </w:tcPr>
          <w:p w:rsidR="00920940" w:rsidRPr="00F06509" w:rsidRDefault="00920940" w:rsidP="006C74D8">
            <w:pPr>
              <w:jc w:val="center"/>
              <w:rPr>
                <w:sz w:val="22"/>
                <w:szCs w:val="22"/>
                <w:vertAlign w:val="superscript"/>
              </w:rPr>
            </w:pPr>
            <w:r>
              <w:rPr>
                <w:sz w:val="22"/>
                <w:szCs w:val="22"/>
              </w:rPr>
              <w:t>m</w:t>
            </w:r>
            <w:r>
              <w:rPr>
                <w:sz w:val="22"/>
                <w:szCs w:val="22"/>
                <w:vertAlign w:val="superscript"/>
              </w:rPr>
              <w:t>3</w:t>
            </w:r>
          </w:p>
        </w:tc>
        <w:tc>
          <w:tcPr>
            <w:tcW w:w="1559" w:type="dxa"/>
            <w:vAlign w:val="center"/>
          </w:tcPr>
          <w:p w:rsidR="00920940" w:rsidRDefault="00920940" w:rsidP="006C74D8">
            <w:pPr>
              <w:jc w:val="right"/>
              <w:rPr>
                <w:sz w:val="22"/>
                <w:szCs w:val="22"/>
              </w:rPr>
            </w:pPr>
            <w:r>
              <w:rPr>
                <w:sz w:val="22"/>
                <w:szCs w:val="22"/>
              </w:rPr>
              <w:t>123.370</w:t>
            </w:r>
          </w:p>
        </w:tc>
        <w:tc>
          <w:tcPr>
            <w:tcW w:w="1985" w:type="dxa"/>
            <w:vAlign w:val="center"/>
          </w:tcPr>
          <w:p w:rsidR="00920940" w:rsidRPr="002556F0" w:rsidRDefault="00920940" w:rsidP="006C74D8">
            <w:pPr>
              <w:jc w:val="right"/>
              <w:rPr>
                <w:sz w:val="22"/>
                <w:szCs w:val="22"/>
              </w:rPr>
            </w:pPr>
            <w:r>
              <w:rPr>
                <w:sz w:val="22"/>
                <w:szCs w:val="22"/>
              </w:rPr>
              <w:t>123.370</w:t>
            </w:r>
          </w:p>
        </w:tc>
        <w:tc>
          <w:tcPr>
            <w:tcW w:w="2693" w:type="dxa"/>
            <w:vAlign w:val="center"/>
          </w:tcPr>
          <w:p w:rsidR="00920940" w:rsidRDefault="00920940" w:rsidP="006C74D8">
            <w:pPr>
              <w:jc w:val="right"/>
              <w:rPr>
                <w:sz w:val="22"/>
                <w:szCs w:val="22"/>
              </w:rPr>
            </w:pPr>
          </w:p>
        </w:tc>
      </w:tr>
      <w:tr w:rsidR="00920940" w:rsidRPr="002556F0" w:rsidTr="00920940">
        <w:tc>
          <w:tcPr>
            <w:tcW w:w="610" w:type="dxa"/>
            <w:vAlign w:val="center"/>
          </w:tcPr>
          <w:p w:rsidR="00920940" w:rsidRPr="002556F0" w:rsidRDefault="00920940" w:rsidP="006C74D8">
            <w:pPr>
              <w:tabs>
                <w:tab w:val="left" w:pos="1701"/>
              </w:tabs>
              <w:spacing w:before="40" w:after="40"/>
              <w:jc w:val="center"/>
              <w:rPr>
                <w:sz w:val="22"/>
                <w:szCs w:val="22"/>
              </w:rPr>
            </w:pPr>
          </w:p>
        </w:tc>
        <w:tc>
          <w:tcPr>
            <w:tcW w:w="608" w:type="dxa"/>
            <w:vAlign w:val="center"/>
          </w:tcPr>
          <w:p w:rsidR="00920940" w:rsidRPr="002556F0" w:rsidRDefault="00920940" w:rsidP="006C74D8">
            <w:pPr>
              <w:tabs>
                <w:tab w:val="left" w:pos="1701"/>
              </w:tabs>
              <w:spacing w:before="40" w:after="40"/>
              <w:jc w:val="center"/>
              <w:rPr>
                <w:sz w:val="22"/>
                <w:szCs w:val="22"/>
              </w:rPr>
            </w:pPr>
          </w:p>
        </w:tc>
        <w:tc>
          <w:tcPr>
            <w:tcW w:w="904" w:type="dxa"/>
            <w:vAlign w:val="center"/>
          </w:tcPr>
          <w:p w:rsidR="00920940" w:rsidRPr="002556F0" w:rsidRDefault="00920940" w:rsidP="006C74D8">
            <w:pPr>
              <w:jc w:val="center"/>
              <w:rPr>
                <w:sz w:val="22"/>
                <w:szCs w:val="22"/>
              </w:rPr>
            </w:pPr>
          </w:p>
        </w:tc>
        <w:tc>
          <w:tcPr>
            <w:tcW w:w="913" w:type="dxa"/>
            <w:vAlign w:val="center"/>
          </w:tcPr>
          <w:p w:rsidR="00920940" w:rsidRPr="002556F0" w:rsidRDefault="00920940" w:rsidP="006C74D8">
            <w:pPr>
              <w:jc w:val="center"/>
              <w:rPr>
                <w:sz w:val="22"/>
                <w:szCs w:val="22"/>
              </w:rPr>
            </w:pPr>
          </w:p>
        </w:tc>
        <w:tc>
          <w:tcPr>
            <w:tcW w:w="1133" w:type="dxa"/>
            <w:vAlign w:val="center"/>
          </w:tcPr>
          <w:p w:rsidR="00920940" w:rsidRPr="00F06509" w:rsidRDefault="00920940" w:rsidP="006C74D8">
            <w:pPr>
              <w:jc w:val="center"/>
              <w:rPr>
                <w:sz w:val="22"/>
                <w:szCs w:val="22"/>
              </w:rPr>
            </w:pPr>
            <w:r w:rsidRPr="00C14F40">
              <w:rPr>
                <w:sz w:val="22"/>
                <w:szCs w:val="22"/>
              </w:rPr>
              <w:t>II2020302</w:t>
            </w:r>
          </w:p>
        </w:tc>
        <w:tc>
          <w:tcPr>
            <w:tcW w:w="647" w:type="dxa"/>
            <w:vAlign w:val="center"/>
          </w:tcPr>
          <w:p w:rsidR="00920940" w:rsidRPr="002556F0" w:rsidRDefault="00920940" w:rsidP="006C74D8">
            <w:pPr>
              <w:jc w:val="center"/>
              <w:rPr>
                <w:sz w:val="22"/>
                <w:szCs w:val="22"/>
              </w:rPr>
            </w:pPr>
          </w:p>
        </w:tc>
        <w:tc>
          <w:tcPr>
            <w:tcW w:w="2410" w:type="dxa"/>
            <w:vAlign w:val="center"/>
          </w:tcPr>
          <w:p w:rsidR="00920940" w:rsidRPr="00F06509" w:rsidRDefault="00920940" w:rsidP="006C74D8">
            <w:pPr>
              <w:jc w:val="both"/>
              <w:rPr>
                <w:sz w:val="22"/>
                <w:szCs w:val="22"/>
              </w:rPr>
            </w:pPr>
            <w:r>
              <w:rPr>
                <w:sz w:val="22"/>
                <w:szCs w:val="22"/>
              </w:rPr>
              <w:t>Đá hộc</w:t>
            </w:r>
          </w:p>
        </w:tc>
        <w:tc>
          <w:tcPr>
            <w:tcW w:w="850" w:type="dxa"/>
            <w:vAlign w:val="center"/>
          </w:tcPr>
          <w:p w:rsidR="00920940" w:rsidRDefault="00920940" w:rsidP="006C74D8">
            <w:pPr>
              <w:jc w:val="center"/>
              <w:rPr>
                <w:sz w:val="22"/>
                <w:szCs w:val="22"/>
              </w:rPr>
            </w:pPr>
            <w:r>
              <w:rPr>
                <w:sz w:val="22"/>
                <w:szCs w:val="22"/>
              </w:rPr>
              <w:t>m</w:t>
            </w:r>
            <w:r>
              <w:rPr>
                <w:sz w:val="22"/>
                <w:szCs w:val="22"/>
                <w:vertAlign w:val="superscript"/>
              </w:rPr>
              <w:t>3</w:t>
            </w:r>
          </w:p>
        </w:tc>
        <w:tc>
          <w:tcPr>
            <w:tcW w:w="1559" w:type="dxa"/>
            <w:vAlign w:val="center"/>
          </w:tcPr>
          <w:p w:rsidR="00920940" w:rsidRDefault="00920940" w:rsidP="006C74D8">
            <w:pPr>
              <w:jc w:val="right"/>
              <w:rPr>
                <w:sz w:val="22"/>
                <w:szCs w:val="22"/>
              </w:rPr>
            </w:pPr>
            <w:r>
              <w:rPr>
                <w:sz w:val="22"/>
                <w:szCs w:val="22"/>
              </w:rPr>
              <w:t>Không có</w:t>
            </w:r>
          </w:p>
        </w:tc>
        <w:tc>
          <w:tcPr>
            <w:tcW w:w="1985" w:type="dxa"/>
            <w:vAlign w:val="center"/>
          </w:tcPr>
          <w:p w:rsidR="00920940" w:rsidRDefault="00920940" w:rsidP="006C74D8">
            <w:pPr>
              <w:jc w:val="right"/>
              <w:rPr>
                <w:sz w:val="22"/>
                <w:szCs w:val="22"/>
              </w:rPr>
            </w:pPr>
            <w:r>
              <w:rPr>
                <w:sz w:val="22"/>
                <w:szCs w:val="22"/>
              </w:rPr>
              <w:t>120.000</w:t>
            </w:r>
          </w:p>
        </w:tc>
        <w:tc>
          <w:tcPr>
            <w:tcW w:w="2693" w:type="dxa"/>
            <w:vAlign w:val="center"/>
          </w:tcPr>
          <w:p w:rsidR="00920940" w:rsidRDefault="00920940" w:rsidP="005A786C">
            <w:pPr>
              <w:jc w:val="both"/>
              <w:rPr>
                <w:sz w:val="22"/>
                <w:szCs w:val="22"/>
              </w:rPr>
            </w:pPr>
            <w:r>
              <w:rPr>
                <w:sz w:val="22"/>
                <w:szCs w:val="22"/>
              </w:rPr>
              <w:t>Theo thông tin</w:t>
            </w:r>
            <w:r w:rsidR="003269F0">
              <w:rPr>
                <w:sz w:val="22"/>
                <w:szCs w:val="22"/>
              </w:rPr>
              <w:t>, dữ liệu</w:t>
            </w:r>
            <w:r>
              <w:rPr>
                <w:sz w:val="22"/>
                <w:szCs w:val="22"/>
              </w:rPr>
              <w:t xml:space="preserve"> tài nguyên</w:t>
            </w:r>
            <w:r w:rsidR="003269F0">
              <w:rPr>
                <w:sz w:val="22"/>
                <w:szCs w:val="22"/>
              </w:rPr>
              <w:t xml:space="preserve"> phát sinh do Sở NN&amp;MT cung cấp, </w:t>
            </w:r>
            <w:r>
              <w:rPr>
                <w:sz w:val="22"/>
                <w:szCs w:val="22"/>
              </w:rPr>
              <w:t xml:space="preserve">dữ liệu kê khai thuế </w:t>
            </w:r>
            <w:r w:rsidR="003269F0">
              <w:rPr>
                <w:sz w:val="22"/>
                <w:szCs w:val="22"/>
              </w:rPr>
              <w:t xml:space="preserve">và thông tin từ Quyết định 30/2025/QĐ-UBND về bảng giá thuế tài nguyên </w:t>
            </w:r>
            <w:r>
              <w:rPr>
                <w:sz w:val="22"/>
                <w:szCs w:val="22"/>
              </w:rPr>
              <w:t>địa bàn tỉnh Bình Phước (cũ)</w:t>
            </w:r>
          </w:p>
        </w:tc>
      </w:tr>
      <w:tr w:rsidR="003269F0" w:rsidRPr="002556F0" w:rsidTr="003269F0">
        <w:trPr>
          <w:trHeight w:val="295"/>
        </w:trPr>
        <w:tc>
          <w:tcPr>
            <w:tcW w:w="610" w:type="dxa"/>
            <w:vAlign w:val="center"/>
          </w:tcPr>
          <w:p w:rsidR="003269F0" w:rsidRPr="002556F0" w:rsidRDefault="003269F0" w:rsidP="003269F0">
            <w:pPr>
              <w:tabs>
                <w:tab w:val="left" w:pos="1701"/>
              </w:tabs>
              <w:spacing w:before="40" w:after="40"/>
              <w:jc w:val="center"/>
              <w:rPr>
                <w:sz w:val="22"/>
                <w:szCs w:val="22"/>
              </w:rPr>
            </w:pPr>
          </w:p>
        </w:tc>
        <w:tc>
          <w:tcPr>
            <w:tcW w:w="608" w:type="dxa"/>
            <w:vAlign w:val="center"/>
          </w:tcPr>
          <w:p w:rsidR="003269F0" w:rsidRPr="002556F0" w:rsidRDefault="003269F0" w:rsidP="003269F0">
            <w:pPr>
              <w:tabs>
                <w:tab w:val="left" w:pos="1701"/>
              </w:tabs>
              <w:spacing w:before="40" w:after="40"/>
              <w:jc w:val="center"/>
              <w:rPr>
                <w:sz w:val="22"/>
                <w:szCs w:val="22"/>
              </w:rPr>
            </w:pPr>
          </w:p>
        </w:tc>
        <w:tc>
          <w:tcPr>
            <w:tcW w:w="904" w:type="dxa"/>
            <w:vAlign w:val="center"/>
          </w:tcPr>
          <w:p w:rsidR="003269F0" w:rsidRPr="002556F0" w:rsidRDefault="003269F0" w:rsidP="003269F0">
            <w:pPr>
              <w:jc w:val="center"/>
              <w:rPr>
                <w:sz w:val="22"/>
                <w:szCs w:val="22"/>
              </w:rPr>
            </w:pPr>
          </w:p>
        </w:tc>
        <w:tc>
          <w:tcPr>
            <w:tcW w:w="913" w:type="dxa"/>
            <w:vAlign w:val="center"/>
          </w:tcPr>
          <w:p w:rsidR="003269F0" w:rsidRPr="002556F0" w:rsidRDefault="003269F0" w:rsidP="003269F0">
            <w:pPr>
              <w:jc w:val="center"/>
              <w:rPr>
                <w:sz w:val="22"/>
                <w:szCs w:val="22"/>
              </w:rPr>
            </w:pPr>
          </w:p>
        </w:tc>
        <w:tc>
          <w:tcPr>
            <w:tcW w:w="1133" w:type="dxa"/>
            <w:vAlign w:val="center"/>
          </w:tcPr>
          <w:p w:rsidR="003269F0" w:rsidRPr="002556F0" w:rsidRDefault="003269F0" w:rsidP="003269F0">
            <w:pPr>
              <w:jc w:val="center"/>
              <w:rPr>
                <w:sz w:val="22"/>
                <w:szCs w:val="22"/>
              </w:rPr>
            </w:pPr>
            <w:r w:rsidRPr="00F06509">
              <w:rPr>
                <w:sz w:val="22"/>
                <w:szCs w:val="22"/>
              </w:rPr>
              <w:t>II2020303</w:t>
            </w:r>
          </w:p>
        </w:tc>
        <w:tc>
          <w:tcPr>
            <w:tcW w:w="647" w:type="dxa"/>
            <w:vAlign w:val="center"/>
          </w:tcPr>
          <w:p w:rsidR="003269F0" w:rsidRPr="002556F0" w:rsidRDefault="003269F0" w:rsidP="003269F0">
            <w:pPr>
              <w:jc w:val="center"/>
              <w:rPr>
                <w:sz w:val="22"/>
                <w:szCs w:val="22"/>
              </w:rPr>
            </w:pPr>
          </w:p>
        </w:tc>
        <w:tc>
          <w:tcPr>
            <w:tcW w:w="2410" w:type="dxa"/>
            <w:vAlign w:val="center"/>
          </w:tcPr>
          <w:p w:rsidR="003269F0" w:rsidRPr="002556F0" w:rsidRDefault="003269F0" w:rsidP="003269F0">
            <w:pPr>
              <w:jc w:val="both"/>
              <w:rPr>
                <w:sz w:val="22"/>
                <w:szCs w:val="22"/>
              </w:rPr>
            </w:pPr>
            <w:r w:rsidRPr="00F06509">
              <w:rPr>
                <w:sz w:val="22"/>
                <w:szCs w:val="22"/>
              </w:rPr>
              <w:t>Đá cấp phối</w:t>
            </w:r>
          </w:p>
        </w:tc>
        <w:tc>
          <w:tcPr>
            <w:tcW w:w="850" w:type="dxa"/>
            <w:vAlign w:val="center"/>
          </w:tcPr>
          <w:p w:rsidR="003269F0" w:rsidRPr="002556F0" w:rsidRDefault="003269F0" w:rsidP="003269F0">
            <w:pPr>
              <w:jc w:val="center"/>
              <w:rPr>
                <w:sz w:val="22"/>
                <w:szCs w:val="22"/>
              </w:rPr>
            </w:pPr>
            <w:r>
              <w:rPr>
                <w:sz w:val="22"/>
                <w:szCs w:val="22"/>
              </w:rPr>
              <w:t>m</w:t>
            </w:r>
            <w:r>
              <w:rPr>
                <w:sz w:val="22"/>
                <w:szCs w:val="22"/>
                <w:vertAlign w:val="superscript"/>
              </w:rPr>
              <w:t>3</w:t>
            </w:r>
          </w:p>
        </w:tc>
        <w:tc>
          <w:tcPr>
            <w:tcW w:w="1559" w:type="dxa"/>
            <w:vAlign w:val="center"/>
          </w:tcPr>
          <w:p w:rsidR="003269F0" w:rsidRPr="002556F0" w:rsidRDefault="003269F0" w:rsidP="003269F0">
            <w:pPr>
              <w:jc w:val="right"/>
              <w:rPr>
                <w:sz w:val="22"/>
                <w:szCs w:val="22"/>
              </w:rPr>
            </w:pPr>
            <w:r>
              <w:rPr>
                <w:sz w:val="22"/>
                <w:szCs w:val="22"/>
              </w:rPr>
              <w:t>202.954</w:t>
            </w:r>
          </w:p>
        </w:tc>
        <w:tc>
          <w:tcPr>
            <w:tcW w:w="1985" w:type="dxa"/>
            <w:vAlign w:val="center"/>
          </w:tcPr>
          <w:p w:rsidR="003269F0" w:rsidRPr="002556F0" w:rsidRDefault="003269F0" w:rsidP="003269F0">
            <w:pPr>
              <w:jc w:val="right"/>
              <w:rPr>
                <w:sz w:val="22"/>
                <w:szCs w:val="22"/>
              </w:rPr>
            </w:pPr>
            <w:r>
              <w:rPr>
                <w:sz w:val="22"/>
                <w:szCs w:val="22"/>
              </w:rPr>
              <w:t>202.954</w:t>
            </w:r>
          </w:p>
        </w:tc>
        <w:tc>
          <w:tcPr>
            <w:tcW w:w="2693" w:type="dxa"/>
            <w:vAlign w:val="center"/>
          </w:tcPr>
          <w:p w:rsidR="003269F0" w:rsidRDefault="003269F0" w:rsidP="003269F0">
            <w:pPr>
              <w:jc w:val="right"/>
              <w:rPr>
                <w:sz w:val="22"/>
                <w:szCs w:val="22"/>
              </w:rPr>
            </w:pPr>
          </w:p>
        </w:tc>
      </w:tr>
      <w:tr w:rsidR="003269F0" w:rsidRPr="002556F0" w:rsidTr="00920940">
        <w:tc>
          <w:tcPr>
            <w:tcW w:w="610" w:type="dxa"/>
            <w:vAlign w:val="center"/>
          </w:tcPr>
          <w:p w:rsidR="003269F0" w:rsidRPr="002556F0" w:rsidRDefault="003269F0" w:rsidP="003269F0">
            <w:pPr>
              <w:tabs>
                <w:tab w:val="left" w:pos="1701"/>
              </w:tabs>
              <w:spacing w:before="40" w:after="40"/>
              <w:jc w:val="center"/>
              <w:rPr>
                <w:sz w:val="22"/>
                <w:szCs w:val="22"/>
              </w:rPr>
            </w:pPr>
          </w:p>
        </w:tc>
        <w:tc>
          <w:tcPr>
            <w:tcW w:w="608" w:type="dxa"/>
            <w:vAlign w:val="center"/>
          </w:tcPr>
          <w:p w:rsidR="003269F0" w:rsidRPr="002556F0" w:rsidRDefault="003269F0" w:rsidP="003269F0">
            <w:pPr>
              <w:tabs>
                <w:tab w:val="left" w:pos="1701"/>
              </w:tabs>
              <w:spacing w:before="40" w:after="40"/>
              <w:jc w:val="center"/>
              <w:rPr>
                <w:sz w:val="22"/>
                <w:szCs w:val="22"/>
              </w:rPr>
            </w:pPr>
          </w:p>
        </w:tc>
        <w:tc>
          <w:tcPr>
            <w:tcW w:w="904" w:type="dxa"/>
            <w:vAlign w:val="center"/>
          </w:tcPr>
          <w:p w:rsidR="003269F0" w:rsidRPr="002556F0" w:rsidRDefault="003269F0" w:rsidP="003269F0">
            <w:pPr>
              <w:jc w:val="center"/>
              <w:rPr>
                <w:sz w:val="22"/>
                <w:szCs w:val="22"/>
              </w:rPr>
            </w:pPr>
          </w:p>
        </w:tc>
        <w:tc>
          <w:tcPr>
            <w:tcW w:w="913" w:type="dxa"/>
            <w:vAlign w:val="center"/>
          </w:tcPr>
          <w:p w:rsidR="003269F0" w:rsidRPr="002556F0" w:rsidRDefault="003269F0" w:rsidP="003269F0">
            <w:pPr>
              <w:jc w:val="center"/>
              <w:rPr>
                <w:sz w:val="22"/>
                <w:szCs w:val="22"/>
              </w:rPr>
            </w:pPr>
          </w:p>
        </w:tc>
        <w:tc>
          <w:tcPr>
            <w:tcW w:w="1133" w:type="dxa"/>
            <w:vAlign w:val="center"/>
          </w:tcPr>
          <w:p w:rsidR="003269F0" w:rsidRPr="002556F0" w:rsidRDefault="003269F0" w:rsidP="003269F0">
            <w:pPr>
              <w:jc w:val="center"/>
              <w:rPr>
                <w:sz w:val="22"/>
                <w:szCs w:val="22"/>
              </w:rPr>
            </w:pPr>
            <w:r w:rsidRPr="00496C6C">
              <w:rPr>
                <w:sz w:val="22"/>
                <w:szCs w:val="22"/>
              </w:rPr>
              <w:t>II2020304</w:t>
            </w:r>
          </w:p>
        </w:tc>
        <w:tc>
          <w:tcPr>
            <w:tcW w:w="647" w:type="dxa"/>
            <w:vAlign w:val="center"/>
          </w:tcPr>
          <w:p w:rsidR="003269F0" w:rsidRPr="002556F0" w:rsidRDefault="003269F0" w:rsidP="003269F0">
            <w:pPr>
              <w:jc w:val="center"/>
              <w:rPr>
                <w:sz w:val="22"/>
                <w:szCs w:val="22"/>
              </w:rPr>
            </w:pPr>
          </w:p>
        </w:tc>
        <w:tc>
          <w:tcPr>
            <w:tcW w:w="2410" w:type="dxa"/>
            <w:vAlign w:val="center"/>
          </w:tcPr>
          <w:p w:rsidR="003269F0" w:rsidRPr="002556F0" w:rsidRDefault="003269F0" w:rsidP="003269F0">
            <w:pPr>
              <w:jc w:val="both"/>
              <w:rPr>
                <w:sz w:val="22"/>
                <w:szCs w:val="22"/>
              </w:rPr>
            </w:pPr>
            <w:r w:rsidRPr="00496C6C">
              <w:rPr>
                <w:sz w:val="22"/>
                <w:szCs w:val="22"/>
              </w:rPr>
              <w:t>Đá dăm các loại</w:t>
            </w:r>
          </w:p>
        </w:tc>
        <w:tc>
          <w:tcPr>
            <w:tcW w:w="850" w:type="dxa"/>
            <w:vAlign w:val="center"/>
          </w:tcPr>
          <w:p w:rsidR="003269F0" w:rsidRPr="002556F0" w:rsidRDefault="003269F0" w:rsidP="003269F0">
            <w:pPr>
              <w:jc w:val="center"/>
              <w:rPr>
                <w:sz w:val="22"/>
                <w:szCs w:val="22"/>
              </w:rPr>
            </w:pPr>
            <w:r>
              <w:rPr>
                <w:sz w:val="22"/>
                <w:szCs w:val="22"/>
              </w:rPr>
              <w:t>m</w:t>
            </w:r>
            <w:r>
              <w:rPr>
                <w:sz w:val="22"/>
                <w:szCs w:val="22"/>
                <w:vertAlign w:val="superscript"/>
              </w:rPr>
              <w:t>3</w:t>
            </w:r>
          </w:p>
        </w:tc>
        <w:tc>
          <w:tcPr>
            <w:tcW w:w="1559" w:type="dxa"/>
            <w:vAlign w:val="center"/>
          </w:tcPr>
          <w:p w:rsidR="003269F0" w:rsidRPr="002556F0" w:rsidRDefault="003269F0" w:rsidP="003269F0">
            <w:pPr>
              <w:jc w:val="right"/>
              <w:rPr>
                <w:sz w:val="22"/>
                <w:szCs w:val="22"/>
              </w:rPr>
            </w:pPr>
            <w:r>
              <w:rPr>
                <w:sz w:val="22"/>
                <w:szCs w:val="22"/>
              </w:rPr>
              <w:t>217.912</w:t>
            </w:r>
          </w:p>
        </w:tc>
        <w:tc>
          <w:tcPr>
            <w:tcW w:w="1985" w:type="dxa"/>
            <w:vAlign w:val="center"/>
          </w:tcPr>
          <w:p w:rsidR="003269F0" w:rsidRPr="002556F0" w:rsidRDefault="003269F0" w:rsidP="003269F0">
            <w:pPr>
              <w:jc w:val="right"/>
              <w:rPr>
                <w:sz w:val="22"/>
                <w:szCs w:val="22"/>
              </w:rPr>
            </w:pPr>
            <w:r>
              <w:rPr>
                <w:sz w:val="22"/>
                <w:szCs w:val="22"/>
              </w:rPr>
              <w:t>217.912</w:t>
            </w:r>
          </w:p>
        </w:tc>
        <w:tc>
          <w:tcPr>
            <w:tcW w:w="2693" w:type="dxa"/>
            <w:vAlign w:val="center"/>
          </w:tcPr>
          <w:p w:rsidR="003269F0" w:rsidRDefault="003269F0" w:rsidP="003269F0">
            <w:pPr>
              <w:jc w:val="right"/>
              <w:rPr>
                <w:sz w:val="22"/>
                <w:szCs w:val="22"/>
              </w:rPr>
            </w:pPr>
          </w:p>
        </w:tc>
      </w:tr>
      <w:tr w:rsidR="003269F0" w:rsidRPr="002556F0" w:rsidTr="00920940">
        <w:tc>
          <w:tcPr>
            <w:tcW w:w="610" w:type="dxa"/>
            <w:vAlign w:val="center"/>
          </w:tcPr>
          <w:p w:rsidR="003269F0" w:rsidRPr="002556F0" w:rsidRDefault="003269F0" w:rsidP="003269F0">
            <w:pPr>
              <w:tabs>
                <w:tab w:val="left" w:pos="1701"/>
              </w:tabs>
              <w:spacing w:before="40" w:after="40"/>
              <w:jc w:val="center"/>
              <w:rPr>
                <w:sz w:val="22"/>
                <w:szCs w:val="22"/>
              </w:rPr>
            </w:pPr>
          </w:p>
        </w:tc>
        <w:tc>
          <w:tcPr>
            <w:tcW w:w="608" w:type="dxa"/>
            <w:vAlign w:val="center"/>
          </w:tcPr>
          <w:p w:rsidR="003269F0" w:rsidRPr="002556F0" w:rsidRDefault="003269F0" w:rsidP="003269F0">
            <w:pPr>
              <w:tabs>
                <w:tab w:val="left" w:pos="1701"/>
              </w:tabs>
              <w:spacing w:before="40" w:after="40"/>
              <w:jc w:val="center"/>
              <w:rPr>
                <w:sz w:val="22"/>
                <w:szCs w:val="22"/>
              </w:rPr>
            </w:pPr>
          </w:p>
        </w:tc>
        <w:tc>
          <w:tcPr>
            <w:tcW w:w="904" w:type="dxa"/>
            <w:vAlign w:val="center"/>
          </w:tcPr>
          <w:p w:rsidR="003269F0" w:rsidRPr="002556F0" w:rsidRDefault="003269F0" w:rsidP="003269F0">
            <w:pPr>
              <w:jc w:val="center"/>
              <w:rPr>
                <w:sz w:val="22"/>
                <w:szCs w:val="22"/>
              </w:rPr>
            </w:pPr>
          </w:p>
        </w:tc>
        <w:tc>
          <w:tcPr>
            <w:tcW w:w="913" w:type="dxa"/>
            <w:vAlign w:val="center"/>
          </w:tcPr>
          <w:p w:rsidR="003269F0" w:rsidRPr="002556F0" w:rsidRDefault="003269F0" w:rsidP="003269F0">
            <w:pPr>
              <w:jc w:val="center"/>
              <w:rPr>
                <w:sz w:val="22"/>
                <w:szCs w:val="22"/>
              </w:rPr>
            </w:pPr>
          </w:p>
        </w:tc>
        <w:tc>
          <w:tcPr>
            <w:tcW w:w="1133" w:type="dxa"/>
            <w:vAlign w:val="center"/>
          </w:tcPr>
          <w:p w:rsidR="003269F0" w:rsidRPr="002556F0" w:rsidRDefault="003269F0" w:rsidP="003269F0">
            <w:pPr>
              <w:jc w:val="center"/>
              <w:rPr>
                <w:sz w:val="22"/>
                <w:szCs w:val="22"/>
              </w:rPr>
            </w:pPr>
            <w:r w:rsidRPr="00496C6C">
              <w:rPr>
                <w:sz w:val="22"/>
                <w:szCs w:val="22"/>
              </w:rPr>
              <w:t>II202030</w:t>
            </w:r>
            <w:r>
              <w:rPr>
                <w:sz w:val="22"/>
                <w:szCs w:val="22"/>
              </w:rPr>
              <w:t>5</w:t>
            </w:r>
          </w:p>
        </w:tc>
        <w:tc>
          <w:tcPr>
            <w:tcW w:w="647" w:type="dxa"/>
            <w:vAlign w:val="center"/>
          </w:tcPr>
          <w:p w:rsidR="003269F0" w:rsidRPr="002556F0" w:rsidRDefault="003269F0" w:rsidP="003269F0">
            <w:pPr>
              <w:jc w:val="center"/>
              <w:rPr>
                <w:sz w:val="22"/>
                <w:szCs w:val="22"/>
              </w:rPr>
            </w:pPr>
          </w:p>
        </w:tc>
        <w:tc>
          <w:tcPr>
            <w:tcW w:w="2410" w:type="dxa"/>
            <w:vAlign w:val="center"/>
          </w:tcPr>
          <w:p w:rsidR="003269F0" w:rsidRPr="00496C6C" w:rsidRDefault="003269F0" w:rsidP="003269F0">
            <w:pPr>
              <w:jc w:val="both"/>
              <w:rPr>
                <w:sz w:val="22"/>
                <w:szCs w:val="22"/>
              </w:rPr>
            </w:pPr>
            <w:r>
              <w:rPr>
                <w:sz w:val="22"/>
                <w:szCs w:val="22"/>
              </w:rPr>
              <w:t>Đá lô ca</w:t>
            </w:r>
          </w:p>
        </w:tc>
        <w:tc>
          <w:tcPr>
            <w:tcW w:w="850" w:type="dxa"/>
            <w:vAlign w:val="center"/>
          </w:tcPr>
          <w:p w:rsidR="003269F0" w:rsidRPr="00606D54" w:rsidRDefault="003269F0" w:rsidP="003269F0">
            <w:pPr>
              <w:jc w:val="center"/>
              <w:rPr>
                <w:sz w:val="22"/>
                <w:szCs w:val="22"/>
                <w:vertAlign w:val="superscript"/>
              </w:rPr>
            </w:pPr>
            <w:r>
              <w:rPr>
                <w:sz w:val="22"/>
                <w:szCs w:val="22"/>
              </w:rPr>
              <w:t>m</w:t>
            </w:r>
            <w:r>
              <w:rPr>
                <w:sz w:val="22"/>
                <w:szCs w:val="22"/>
                <w:vertAlign w:val="superscript"/>
              </w:rPr>
              <w:t>3</w:t>
            </w:r>
          </w:p>
        </w:tc>
        <w:tc>
          <w:tcPr>
            <w:tcW w:w="1559" w:type="dxa"/>
            <w:vAlign w:val="center"/>
          </w:tcPr>
          <w:p w:rsidR="003269F0" w:rsidRDefault="003269F0" w:rsidP="003269F0">
            <w:pPr>
              <w:jc w:val="right"/>
              <w:rPr>
                <w:sz w:val="22"/>
                <w:szCs w:val="22"/>
              </w:rPr>
            </w:pPr>
            <w:r>
              <w:rPr>
                <w:sz w:val="22"/>
                <w:szCs w:val="22"/>
              </w:rPr>
              <w:t>Không có</w:t>
            </w:r>
          </w:p>
        </w:tc>
        <w:tc>
          <w:tcPr>
            <w:tcW w:w="1985" w:type="dxa"/>
            <w:vAlign w:val="center"/>
          </w:tcPr>
          <w:p w:rsidR="003269F0" w:rsidRDefault="003269F0" w:rsidP="003269F0">
            <w:pPr>
              <w:jc w:val="right"/>
              <w:rPr>
                <w:sz w:val="22"/>
                <w:szCs w:val="22"/>
              </w:rPr>
            </w:pPr>
            <w:r>
              <w:rPr>
                <w:sz w:val="22"/>
                <w:szCs w:val="22"/>
              </w:rPr>
              <w:t>170.000</w:t>
            </w:r>
          </w:p>
        </w:tc>
        <w:tc>
          <w:tcPr>
            <w:tcW w:w="2693" w:type="dxa"/>
            <w:vAlign w:val="center"/>
          </w:tcPr>
          <w:p w:rsidR="003269F0" w:rsidRDefault="003269F0" w:rsidP="00A063BB">
            <w:pPr>
              <w:jc w:val="both"/>
              <w:rPr>
                <w:sz w:val="22"/>
                <w:szCs w:val="22"/>
              </w:rPr>
            </w:pPr>
            <w:r>
              <w:rPr>
                <w:sz w:val="22"/>
                <w:szCs w:val="22"/>
              </w:rPr>
              <w:t>Theo thông tin tài nguyên phát sinh do Sở NN&amp;MT cung cấp</w:t>
            </w:r>
            <w:r w:rsidR="00A063BB">
              <w:rPr>
                <w:sz w:val="22"/>
                <w:szCs w:val="22"/>
              </w:rPr>
              <w:t xml:space="preserve"> </w:t>
            </w:r>
            <w:r>
              <w:rPr>
                <w:sz w:val="22"/>
                <w:szCs w:val="22"/>
              </w:rPr>
              <w:t>và thông tin từ Quyết định 30/2025/QĐ-UBND về bảng giá thuế tài nguyên địa bàn tỉnh Bình Phước (cũ)</w:t>
            </w:r>
          </w:p>
        </w:tc>
      </w:tr>
      <w:tr w:rsidR="003269F0" w:rsidRPr="002556F0" w:rsidTr="00920940">
        <w:tc>
          <w:tcPr>
            <w:tcW w:w="610" w:type="dxa"/>
            <w:vAlign w:val="center"/>
          </w:tcPr>
          <w:p w:rsidR="003269F0" w:rsidRPr="002556F0" w:rsidRDefault="003269F0" w:rsidP="003269F0">
            <w:pPr>
              <w:tabs>
                <w:tab w:val="left" w:pos="1701"/>
              </w:tabs>
              <w:spacing w:before="40" w:after="40"/>
              <w:jc w:val="center"/>
              <w:rPr>
                <w:sz w:val="22"/>
                <w:szCs w:val="22"/>
              </w:rPr>
            </w:pPr>
          </w:p>
        </w:tc>
        <w:tc>
          <w:tcPr>
            <w:tcW w:w="608" w:type="dxa"/>
            <w:vAlign w:val="center"/>
          </w:tcPr>
          <w:p w:rsidR="003269F0" w:rsidRPr="002556F0" w:rsidRDefault="003269F0" w:rsidP="003269F0">
            <w:pPr>
              <w:tabs>
                <w:tab w:val="left" w:pos="1701"/>
              </w:tabs>
              <w:spacing w:before="40" w:after="40"/>
              <w:jc w:val="center"/>
              <w:rPr>
                <w:sz w:val="22"/>
                <w:szCs w:val="22"/>
              </w:rPr>
            </w:pPr>
          </w:p>
        </w:tc>
        <w:tc>
          <w:tcPr>
            <w:tcW w:w="904" w:type="dxa"/>
            <w:vAlign w:val="center"/>
          </w:tcPr>
          <w:p w:rsidR="003269F0" w:rsidRPr="002556F0" w:rsidRDefault="003269F0" w:rsidP="003269F0">
            <w:pPr>
              <w:jc w:val="center"/>
              <w:rPr>
                <w:sz w:val="22"/>
                <w:szCs w:val="22"/>
              </w:rPr>
            </w:pPr>
          </w:p>
        </w:tc>
        <w:tc>
          <w:tcPr>
            <w:tcW w:w="913" w:type="dxa"/>
            <w:vAlign w:val="center"/>
          </w:tcPr>
          <w:p w:rsidR="003269F0" w:rsidRPr="002556F0" w:rsidRDefault="003269F0" w:rsidP="003269F0">
            <w:pPr>
              <w:jc w:val="center"/>
              <w:rPr>
                <w:sz w:val="22"/>
                <w:szCs w:val="22"/>
              </w:rPr>
            </w:pPr>
          </w:p>
        </w:tc>
        <w:tc>
          <w:tcPr>
            <w:tcW w:w="1133" w:type="dxa"/>
            <w:vAlign w:val="center"/>
          </w:tcPr>
          <w:p w:rsidR="003269F0" w:rsidRPr="00496C6C" w:rsidRDefault="003269F0" w:rsidP="003269F0">
            <w:pPr>
              <w:jc w:val="center"/>
              <w:rPr>
                <w:sz w:val="22"/>
                <w:szCs w:val="22"/>
              </w:rPr>
            </w:pPr>
            <w:r w:rsidRPr="00496C6C">
              <w:rPr>
                <w:sz w:val="22"/>
                <w:szCs w:val="22"/>
              </w:rPr>
              <w:t>II202030</w:t>
            </w:r>
            <w:r>
              <w:rPr>
                <w:sz w:val="22"/>
                <w:szCs w:val="22"/>
              </w:rPr>
              <w:t>6</w:t>
            </w:r>
          </w:p>
        </w:tc>
        <w:tc>
          <w:tcPr>
            <w:tcW w:w="647" w:type="dxa"/>
            <w:vAlign w:val="center"/>
          </w:tcPr>
          <w:p w:rsidR="003269F0" w:rsidRPr="002556F0" w:rsidRDefault="003269F0" w:rsidP="003269F0">
            <w:pPr>
              <w:jc w:val="center"/>
              <w:rPr>
                <w:sz w:val="22"/>
                <w:szCs w:val="22"/>
              </w:rPr>
            </w:pPr>
          </w:p>
        </w:tc>
        <w:tc>
          <w:tcPr>
            <w:tcW w:w="2410" w:type="dxa"/>
            <w:vAlign w:val="center"/>
          </w:tcPr>
          <w:p w:rsidR="003269F0" w:rsidRDefault="003269F0" w:rsidP="003269F0">
            <w:pPr>
              <w:jc w:val="both"/>
              <w:rPr>
                <w:sz w:val="22"/>
                <w:szCs w:val="22"/>
              </w:rPr>
            </w:pPr>
            <w:r>
              <w:rPr>
                <w:sz w:val="22"/>
                <w:szCs w:val="22"/>
              </w:rPr>
              <w:t>Đá chẻ</w:t>
            </w:r>
          </w:p>
        </w:tc>
        <w:tc>
          <w:tcPr>
            <w:tcW w:w="850" w:type="dxa"/>
            <w:vAlign w:val="center"/>
          </w:tcPr>
          <w:p w:rsidR="003269F0" w:rsidRDefault="003269F0" w:rsidP="003269F0">
            <w:pPr>
              <w:jc w:val="center"/>
              <w:rPr>
                <w:sz w:val="22"/>
                <w:szCs w:val="22"/>
              </w:rPr>
            </w:pPr>
            <w:r>
              <w:rPr>
                <w:sz w:val="22"/>
                <w:szCs w:val="22"/>
              </w:rPr>
              <w:t>m</w:t>
            </w:r>
            <w:r>
              <w:rPr>
                <w:sz w:val="22"/>
                <w:szCs w:val="22"/>
                <w:vertAlign w:val="superscript"/>
              </w:rPr>
              <w:t>3</w:t>
            </w:r>
          </w:p>
        </w:tc>
        <w:tc>
          <w:tcPr>
            <w:tcW w:w="1559" w:type="dxa"/>
            <w:vAlign w:val="center"/>
          </w:tcPr>
          <w:p w:rsidR="003269F0" w:rsidRDefault="003269F0" w:rsidP="003269F0">
            <w:pPr>
              <w:jc w:val="right"/>
              <w:rPr>
                <w:sz w:val="22"/>
                <w:szCs w:val="22"/>
              </w:rPr>
            </w:pPr>
            <w:r>
              <w:rPr>
                <w:sz w:val="22"/>
                <w:szCs w:val="22"/>
              </w:rPr>
              <w:t>Không có</w:t>
            </w:r>
          </w:p>
        </w:tc>
        <w:tc>
          <w:tcPr>
            <w:tcW w:w="1985" w:type="dxa"/>
            <w:vAlign w:val="center"/>
          </w:tcPr>
          <w:p w:rsidR="003269F0" w:rsidRDefault="003269F0" w:rsidP="003269F0">
            <w:pPr>
              <w:jc w:val="right"/>
              <w:rPr>
                <w:sz w:val="22"/>
                <w:szCs w:val="22"/>
              </w:rPr>
            </w:pPr>
            <w:r>
              <w:rPr>
                <w:sz w:val="22"/>
                <w:szCs w:val="22"/>
              </w:rPr>
              <w:t>340.000</w:t>
            </w:r>
          </w:p>
        </w:tc>
        <w:tc>
          <w:tcPr>
            <w:tcW w:w="2693" w:type="dxa"/>
            <w:vAlign w:val="center"/>
          </w:tcPr>
          <w:p w:rsidR="003269F0" w:rsidRDefault="003269F0" w:rsidP="00A063BB">
            <w:pPr>
              <w:jc w:val="both"/>
              <w:rPr>
                <w:sz w:val="22"/>
                <w:szCs w:val="22"/>
              </w:rPr>
            </w:pPr>
            <w:r>
              <w:rPr>
                <w:sz w:val="22"/>
                <w:szCs w:val="22"/>
              </w:rPr>
              <w:t>Theo thông tin tài nguyên phát sinh do Sở NN&amp;MT cung cấp</w:t>
            </w:r>
            <w:r w:rsidR="00A063BB">
              <w:rPr>
                <w:sz w:val="22"/>
                <w:szCs w:val="22"/>
              </w:rPr>
              <w:t xml:space="preserve"> </w:t>
            </w:r>
            <w:r>
              <w:rPr>
                <w:sz w:val="22"/>
                <w:szCs w:val="22"/>
              </w:rPr>
              <w:t xml:space="preserve">và thông tin từ </w:t>
            </w:r>
            <w:r>
              <w:rPr>
                <w:sz w:val="22"/>
                <w:szCs w:val="22"/>
              </w:rPr>
              <w:lastRenderedPageBreak/>
              <w:t>Quyết định 30/2025/QĐ-UBND về bảng giá thuế tài nguyên địa bàn tỉnh Bình Phước (cũ)</w:t>
            </w: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4C6246" w:rsidRDefault="00E43B08" w:rsidP="00E43B08">
            <w:pPr>
              <w:jc w:val="center"/>
              <w:rPr>
                <w:sz w:val="22"/>
                <w:szCs w:val="22"/>
              </w:rPr>
            </w:pPr>
            <w:r w:rsidRPr="004C6246">
              <w:rPr>
                <w:sz w:val="22"/>
                <w:szCs w:val="22"/>
              </w:rPr>
              <w:t>II2020307</w:t>
            </w:r>
          </w:p>
        </w:tc>
        <w:tc>
          <w:tcPr>
            <w:tcW w:w="647" w:type="dxa"/>
            <w:vAlign w:val="center"/>
          </w:tcPr>
          <w:p w:rsidR="00E43B08" w:rsidRPr="004C6246" w:rsidRDefault="00E43B08" w:rsidP="00E43B08">
            <w:pPr>
              <w:jc w:val="center"/>
              <w:rPr>
                <w:sz w:val="22"/>
                <w:szCs w:val="22"/>
              </w:rPr>
            </w:pPr>
          </w:p>
        </w:tc>
        <w:tc>
          <w:tcPr>
            <w:tcW w:w="2410" w:type="dxa"/>
            <w:vAlign w:val="center"/>
          </w:tcPr>
          <w:p w:rsidR="00E43B08" w:rsidRPr="004C6246" w:rsidRDefault="00E43B08" w:rsidP="00E43B08">
            <w:pPr>
              <w:jc w:val="both"/>
              <w:rPr>
                <w:sz w:val="22"/>
                <w:szCs w:val="22"/>
              </w:rPr>
            </w:pPr>
            <w:r w:rsidRPr="004C6246">
              <w:rPr>
                <w:sz w:val="22"/>
                <w:szCs w:val="22"/>
              </w:rPr>
              <w:t>Đá bụi, mạt đá</w:t>
            </w:r>
          </w:p>
        </w:tc>
        <w:tc>
          <w:tcPr>
            <w:tcW w:w="850" w:type="dxa"/>
            <w:vAlign w:val="center"/>
          </w:tcPr>
          <w:p w:rsidR="00E43B08" w:rsidRPr="004C6246" w:rsidRDefault="00E43B08" w:rsidP="00E43B08">
            <w:pPr>
              <w:jc w:val="center"/>
              <w:rPr>
                <w:sz w:val="22"/>
                <w:szCs w:val="22"/>
              </w:rPr>
            </w:pPr>
            <w:r w:rsidRPr="004C6246">
              <w:rPr>
                <w:sz w:val="22"/>
                <w:szCs w:val="22"/>
              </w:rPr>
              <w:t>m</w:t>
            </w:r>
            <w:r w:rsidRPr="004C6246">
              <w:rPr>
                <w:sz w:val="22"/>
                <w:szCs w:val="22"/>
                <w:vertAlign w:val="superscript"/>
              </w:rPr>
              <w:t>3</w:t>
            </w:r>
          </w:p>
        </w:tc>
        <w:tc>
          <w:tcPr>
            <w:tcW w:w="1559" w:type="dxa"/>
            <w:vAlign w:val="center"/>
          </w:tcPr>
          <w:p w:rsidR="00E43B08" w:rsidRPr="004C6246" w:rsidRDefault="00E43B08" w:rsidP="00E43B08">
            <w:pPr>
              <w:jc w:val="right"/>
              <w:rPr>
                <w:sz w:val="22"/>
                <w:szCs w:val="22"/>
              </w:rPr>
            </w:pPr>
            <w:r w:rsidRPr="004C6246">
              <w:rPr>
                <w:sz w:val="22"/>
                <w:szCs w:val="22"/>
              </w:rPr>
              <w:t>143.185</w:t>
            </w:r>
          </w:p>
        </w:tc>
        <w:tc>
          <w:tcPr>
            <w:tcW w:w="1985" w:type="dxa"/>
            <w:vAlign w:val="center"/>
          </w:tcPr>
          <w:p w:rsidR="00E43B08" w:rsidRPr="004C6246" w:rsidRDefault="00E43B08" w:rsidP="00E43B08">
            <w:pPr>
              <w:jc w:val="right"/>
              <w:rPr>
                <w:sz w:val="22"/>
                <w:szCs w:val="22"/>
              </w:rPr>
            </w:pPr>
            <w:r w:rsidRPr="004C6246">
              <w:rPr>
                <w:sz w:val="22"/>
                <w:szCs w:val="22"/>
              </w:rPr>
              <w:t>143.185</w:t>
            </w:r>
          </w:p>
        </w:tc>
        <w:tc>
          <w:tcPr>
            <w:tcW w:w="2693" w:type="dxa"/>
            <w:vAlign w:val="center"/>
          </w:tcPr>
          <w:p w:rsidR="00E43B08" w:rsidRPr="004C6246"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496C6C" w:rsidRDefault="00E43B08" w:rsidP="00E43B08">
            <w:pPr>
              <w:tabs>
                <w:tab w:val="left" w:pos="1701"/>
              </w:tabs>
              <w:spacing w:before="40" w:after="40"/>
              <w:jc w:val="center"/>
              <w:rPr>
                <w:b/>
                <w:sz w:val="22"/>
                <w:szCs w:val="22"/>
              </w:rPr>
            </w:pPr>
            <w:r w:rsidRPr="00496C6C">
              <w:rPr>
                <w:b/>
                <w:sz w:val="22"/>
                <w:szCs w:val="22"/>
              </w:rPr>
              <w:t>II3</w:t>
            </w:r>
          </w:p>
        </w:tc>
        <w:tc>
          <w:tcPr>
            <w:tcW w:w="904" w:type="dxa"/>
            <w:vAlign w:val="center"/>
          </w:tcPr>
          <w:p w:rsidR="00E43B08" w:rsidRPr="00496C6C" w:rsidRDefault="00E43B08" w:rsidP="00E43B08">
            <w:pPr>
              <w:jc w:val="center"/>
              <w:rPr>
                <w:b/>
                <w:sz w:val="22"/>
                <w:szCs w:val="22"/>
              </w:rPr>
            </w:pPr>
          </w:p>
        </w:tc>
        <w:tc>
          <w:tcPr>
            <w:tcW w:w="913" w:type="dxa"/>
            <w:vAlign w:val="center"/>
          </w:tcPr>
          <w:p w:rsidR="00E43B08" w:rsidRPr="00496C6C" w:rsidRDefault="00E43B08" w:rsidP="00E43B08">
            <w:pPr>
              <w:jc w:val="center"/>
              <w:rPr>
                <w:b/>
                <w:sz w:val="22"/>
                <w:szCs w:val="22"/>
              </w:rPr>
            </w:pPr>
          </w:p>
        </w:tc>
        <w:tc>
          <w:tcPr>
            <w:tcW w:w="1133" w:type="dxa"/>
            <w:vAlign w:val="center"/>
          </w:tcPr>
          <w:p w:rsidR="00E43B08" w:rsidRPr="00496C6C" w:rsidRDefault="00E43B08" w:rsidP="00E43B08">
            <w:pPr>
              <w:jc w:val="center"/>
              <w:rPr>
                <w:b/>
                <w:sz w:val="22"/>
                <w:szCs w:val="22"/>
              </w:rPr>
            </w:pPr>
          </w:p>
        </w:tc>
        <w:tc>
          <w:tcPr>
            <w:tcW w:w="647" w:type="dxa"/>
            <w:vAlign w:val="center"/>
          </w:tcPr>
          <w:p w:rsidR="00E43B08" w:rsidRPr="00496C6C" w:rsidRDefault="00E43B08" w:rsidP="00E43B08">
            <w:pPr>
              <w:jc w:val="center"/>
              <w:rPr>
                <w:b/>
                <w:sz w:val="22"/>
                <w:szCs w:val="22"/>
              </w:rPr>
            </w:pPr>
          </w:p>
        </w:tc>
        <w:tc>
          <w:tcPr>
            <w:tcW w:w="2410" w:type="dxa"/>
            <w:vAlign w:val="center"/>
          </w:tcPr>
          <w:p w:rsidR="00E43B08" w:rsidRPr="00496C6C" w:rsidRDefault="00E43B08" w:rsidP="00E43B08">
            <w:pPr>
              <w:jc w:val="both"/>
              <w:rPr>
                <w:b/>
                <w:sz w:val="22"/>
                <w:szCs w:val="22"/>
              </w:rPr>
            </w:pPr>
            <w:r w:rsidRPr="00496C6C">
              <w:rPr>
                <w:b/>
                <w:sz w:val="22"/>
                <w:szCs w:val="22"/>
              </w:rPr>
              <w:t>Đá nung vôi và sản xuất xi măng</w:t>
            </w:r>
          </w:p>
        </w:tc>
        <w:tc>
          <w:tcPr>
            <w:tcW w:w="850" w:type="dxa"/>
            <w:vAlign w:val="center"/>
          </w:tcPr>
          <w:p w:rsidR="00E43B08" w:rsidRPr="002556F0" w:rsidRDefault="00E43B08" w:rsidP="00E43B08">
            <w:pPr>
              <w:jc w:val="center"/>
              <w:rPr>
                <w:sz w:val="22"/>
                <w:szCs w:val="22"/>
              </w:rPr>
            </w:pPr>
          </w:p>
        </w:tc>
        <w:tc>
          <w:tcPr>
            <w:tcW w:w="1559" w:type="dxa"/>
            <w:vAlign w:val="center"/>
          </w:tcPr>
          <w:p w:rsidR="00E43B08" w:rsidRPr="002556F0" w:rsidRDefault="00E43B08" w:rsidP="00E43B08">
            <w:pPr>
              <w:jc w:val="right"/>
              <w:rPr>
                <w:sz w:val="22"/>
                <w:szCs w:val="22"/>
              </w:rPr>
            </w:pPr>
          </w:p>
        </w:tc>
        <w:tc>
          <w:tcPr>
            <w:tcW w:w="1985" w:type="dxa"/>
            <w:vAlign w:val="center"/>
          </w:tcPr>
          <w:p w:rsidR="00E43B08" w:rsidRPr="002556F0" w:rsidRDefault="00E43B08" w:rsidP="00E43B08">
            <w:pPr>
              <w:jc w:val="right"/>
              <w:rPr>
                <w:sz w:val="22"/>
                <w:szCs w:val="22"/>
              </w:rPr>
            </w:pPr>
          </w:p>
        </w:tc>
        <w:tc>
          <w:tcPr>
            <w:tcW w:w="2693" w:type="dxa"/>
            <w:vAlign w:val="center"/>
          </w:tcPr>
          <w:p w:rsidR="00E43B08" w:rsidRPr="002556F0"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r w:rsidRPr="00496C6C">
              <w:rPr>
                <w:sz w:val="22"/>
                <w:szCs w:val="22"/>
              </w:rPr>
              <w:t>II302</w:t>
            </w: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2556F0" w:rsidRDefault="00E43B08" w:rsidP="00E43B08">
            <w:pPr>
              <w:jc w:val="both"/>
              <w:rPr>
                <w:sz w:val="22"/>
                <w:szCs w:val="22"/>
              </w:rPr>
            </w:pPr>
            <w:r w:rsidRPr="00496C6C">
              <w:rPr>
                <w:sz w:val="22"/>
                <w:szCs w:val="22"/>
              </w:rPr>
              <w:t>Đá sản xuất xi măng</w:t>
            </w:r>
          </w:p>
        </w:tc>
        <w:tc>
          <w:tcPr>
            <w:tcW w:w="850" w:type="dxa"/>
            <w:vAlign w:val="center"/>
          </w:tcPr>
          <w:p w:rsidR="00E43B08" w:rsidRPr="002556F0" w:rsidRDefault="00E43B08" w:rsidP="00E43B08">
            <w:pPr>
              <w:jc w:val="center"/>
              <w:rPr>
                <w:sz w:val="22"/>
                <w:szCs w:val="22"/>
              </w:rPr>
            </w:pPr>
          </w:p>
        </w:tc>
        <w:tc>
          <w:tcPr>
            <w:tcW w:w="1559" w:type="dxa"/>
            <w:vAlign w:val="center"/>
          </w:tcPr>
          <w:p w:rsidR="00E43B08" w:rsidRPr="002556F0" w:rsidRDefault="00E43B08" w:rsidP="00E43B08">
            <w:pPr>
              <w:jc w:val="right"/>
              <w:rPr>
                <w:sz w:val="22"/>
                <w:szCs w:val="22"/>
              </w:rPr>
            </w:pPr>
          </w:p>
        </w:tc>
        <w:tc>
          <w:tcPr>
            <w:tcW w:w="1985" w:type="dxa"/>
            <w:vAlign w:val="center"/>
          </w:tcPr>
          <w:p w:rsidR="00E43B08" w:rsidRPr="002556F0" w:rsidRDefault="00E43B08" w:rsidP="00E43B08">
            <w:pPr>
              <w:jc w:val="right"/>
              <w:rPr>
                <w:sz w:val="22"/>
                <w:szCs w:val="22"/>
              </w:rPr>
            </w:pPr>
          </w:p>
        </w:tc>
        <w:tc>
          <w:tcPr>
            <w:tcW w:w="2693" w:type="dxa"/>
            <w:vAlign w:val="center"/>
          </w:tcPr>
          <w:p w:rsidR="00E43B08" w:rsidRPr="002556F0"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496C6C" w:rsidRDefault="00E43B08" w:rsidP="00E43B08">
            <w:pPr>
              <w:jc w:val="center"/>
              <w:rPr>
                <w:sz w:val="22"/>
                <w:szCs w:val="22"/>
              </w:rPr>
            </w:pPr>
            <w:r w:rsidRPr="00496C6C">
              <w:rPr>
                <w:sz w:val="22"/>
                <w:szCs w:val="22"/>
              </w:rPr>
              <w:t>II3020</w:t>
            </w:r>
            <w:r>
              <w:rPr>
                <w:sz w:val="22"/>
                <w:szCs w:val="22"/>
              </w:rPr>
              <w:t>1</w:t>
            </w: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496C6C" w:rsidRDefault="00E43B08" w:rsidP="00E43B08">
            <w:pPr>
              <w:jc w:val="both"/>
              <w:rPr>
                <w:sz w:val="22"/>
                <w:szCs w:val="22"/>
              </w:rPr>
            </w:pPr>
            <w:r w:rsidRPr="001B7CC8">
              <w:rPr>
                <w:sz w:val="22"/>
                <w:szCs w:val="22"/>
              </w:rPr>
              <w:t>Đá vôi sản xuất xi măng (khoáng sản khai thác)</w:t>
            </w:r>
          </w:p>
        </w:tc>
        <w:tc>
          <w:tcPr>
            <w:tcW w:w="850" w:type="dxa"/>
            <w:vAlign w:val="center"/>
          </w:tcPr>
          <w:p w:rsidR="00E43B08" w:rsidRPr="002556F0" w:rsidRDefault="00E43B08" w:rsidP="00E43B08">
            <w:pPr>
              <w:jc w:val="center"/>
              <w:rPr>
                <w:sz w:val="22"/>
                <w:szCs w:val="22"/>
              </w:rPr>
            </w:pPr>
            <w:r w:rsidRPr="004C6246">
              <w:rPr>
                <w:sz w:val="22"/>
                <w:szCs w:val="22"/>
              </w:rPr>
              <w:t>m</w:t>
            </w:r>
            <w:r w:rsidRPr="004C6246">
              <w:rPr>
                <w:sz w:val="22"/>
                <w:szCs w:val="22"/>
                <w:vertAlign w:val="superscript"/>
              </w:rPr>
              <w:t>3</w:t>
            </w:r>
          </w:p>
        </w:tc>
        <w:tc>
          <w:tcPr>
            <w:tcW w:w="1559" w:type="dxa"/>
            <w:vAlign w:val="center"/>
          </w:tcPr>
          <w:p w:rsidR="00E43B08" w:rsidRDefault="00E43B08" w:rsidP="00E43B08">
            <w:pPr>
              <w:jc w:val="right"/>
              <w:rPr>
                <w:sz w:val="22"/>
                <w:szCs w:val="22"/>
              </w:rPr>
            </w:pPr>
            <w:r>
              <w:rPr>
                <w:sz w:val="22"/>
                <w:szCs w:val="22"/>
              </w:rPr>
              <w:t>Không có</w:t>
            </w:r>
          </w:p>
        </w:tc>
        <w:tc>
          <w:tcPr>
            <w:tcW w:w="1985" w:type="dxa"/>
            <w:vAlign w:val="center"/>
          </w:tcPr>
          <w:p w:rsidR="00E43B08" w:rsidRPr="002556F0" w:rsidRDefault="00E43B08" w:rsidP="00E43B08">
            <w:pPr>
              <w:jc w:val="right"/>
              <w:rPr>
                <w:sz w:val="22"/>
                <w:szCs w:val="22"/>
              </w:rPr>
            </w:pPr>
            <w:r>
              <w:rPr>
                <w:sz w:val="22"/>
                <w:szCs w:val="22"/>
              </w:rPr>
              <w:t>128.000</w:t>
            </w:r>
          </w:p>
        </w:tc>
        <w:tc>
          <w:tcPr>
            <w:tcW w:w="2693" w:type="dxa"/>
            <w:vAlign w:val="center"/>
          </w:tcPr>
          <w:p w:rsidR="00E43B08" w:rsidRDefault="00E43B08" w:rsidP="00E43B08">
            <w:pPr>
              <w:jc w:val="both"/>
              <w:rPr>
                <w:sz w:val="22"/>
                <w:szCs w:val="22"/>
              </w:rPr>
            </w:pPr>
            <w:r>
              <w:rPr>
                <w:sz w:val="22"/>
                <w:szCs w:val="22"/>
              </w:rPr>
              <w:t>Theo thông tin, dữ liệu tài nguyên phát sinh do Sở NN&amp;MT cung cấp, dữ liệu kê khai thuế và thông tin từ Quyết định 30/2025/QĐ-UBND về bảng giá thuế tài nguyên địa bàn tỉnh Bình Phước (cũ)</w:t>
            </w: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496C6C" w:rsidRDefault="00E43B08" w:rsidP="00E43B08">
            <w:pPr>
              <w:jc w:val="center"/>
              <w:rPr>
                <w:sz w:val="22"/>
                <w:szCs w:val="22"/>
              </w:rPr>
            </w:pPr>
            <w:r w:rsidRPr="00496C6C">
              <w:rPr>
                <w:sz w:val="22"/>
                <w:szCs w:val="22"/>
              </w:rPr>
              <w:t>II3020</w:t>
            </w:r>
            <w:r>
              <w:rPr>
                <w:sz w:val="22"/>
                <w:szCs w:val="22"/>
              </w:rPr>
              <w:t>2</w:t>
            </w: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1B7CC8" w:rsidRDefault="00E43B08" w:rsidP="00E43B08">
            <w:pPr>
              <w:jc w:val="both"/>
              <w:rPr>
                <w:sz w:val="22"/>
                <w:szCs w:val="22"/>
              </w:rPr>
            </w:pPr>
            <w:r w:rsidRPr="001B7CC8">
              <w:rPr>
                <w:sz w:val="22"/>
                <w:szCs w:val="22"/>
              </w:rPr>
              <w:t>Đá sét sản xuất xi măng (khoáng sản khai thác)</w:t>
            </w:r>
          </w:p>
        </w:tc>
        <w:tc>
          <w:tcPr>
            <w:tcW w:w="850" w:type="dxa"/>
            <w:vAlign w:val="center"/>
          </w:tcPr>
          <w:p w:rsidR="00E43B08" w:rsidRPr="004C6246" w:rsidRDefault="00E43B08" w:rsidP="00E43B08">
            <w:pPr>
              <w:jc w:val="center"/>
              <w:rPr>
                <w:sz w:val="22"/>
                <w:szCs w:val="22"/>
              </w:rPr>
            </w:pPr>
            <w:r w:rsidRPr="004C6246">
              <w:rPr>
                <w:sz w:val="22"/>
                <w:szCs w:val="22"/>
              </w:rPr>
              <w:t>m</w:t>
            </w:r>
            <w:r w:rsidRPr="004C6246">
              <w:rPr>
                <w:sz w:val="22"/>
                <w:szCs w:val="22"/>
                <w:vertAlign w:val="superscript"/>
              </w:rPr>
              <w:t>3</w:t>
            </w:r>
          </w:p>
        </w:tc>
        <w:tc>
          <w:tcPr>
            <w:tcW w:w="1559" w:type="dxa"/>
            <w:vAlign w:val="center"/>
          </w:tcPr>
          <w:p w:rsidR="00E43B08" w:rsidRDefault="00E43B08" w:rsidP="00E43B08">
            <w:pPr>
              <w:jc w:val="right"/>
              <w:rPr>
                <w:sz w:val="22"/>
                <w:szCs w:val="22"/>
              </w:rPr>
            </w:pPr>
            <w:r>
              <w:rPr>
                <w:sz w:val="22"/>
                <w:szCs w:val="22"/>
              </w:rPr>
              <w:t>Không có</w:t>
            </w:r>
          </w:p>
        </w:tc>
        <w:tc>
          <w:tcPr>
            <w:tcW w:w="1985" w:type="dxa"/>
            <w:vAlign w:val="center"/>
          </w:tcPr>
          <w:p w:rsidR="00E43B08" w:rsidRDefault="00E43B08" w:rsidP="00E43B08">
            <w:pPr>
              <w:jc w:val="right"/>
              <w:rPr>
                <w:sz w:val="22"/>
                <w:szCs w:val="22"/>
              </w:rPr>
            </w:pPr>
            <w:r>
              <w:rPr>
                <w:sz w:val="22"/>
                <w:szCs w:val="22"/>
              </w:rPr>
              <w:t>77.000</w:t>
            </w:r>
          </w:p>
        </w:tc>
        <w:tc>
          <w:tcPr>
            <w:tcW w:w="2693" w:type="dxa"/>
            <w:vAlign w:val="center"/>
          </w:tcPr>
          <w:p w:rsidR="00E43B08" w:rsidRDefault="00E43B08" w:rsidP="00E43B08">
            <w:pPr>
              <w:jc w:val="both"/>
              <w:rPr>
                <w:sz w:val="22"/>
                <w:szCs w:val="22"/>
              </w:rPr>
            </w:pPr>
            <w:r>
              <w:rPr>
                <w:sz w:val="22"/>
                <w:szCs w:val="22"/>
              </w:rPr>
              <w:t>Theo thông tin, dữ liệu tài nguyên phát sinh do Sở NN&amp;MT cung cấp, dữ liệu kê khai thuế và thông tin từ Quyết định 30/2025/QĐ-UBND về bảng giá thuế tài nguyên địa bàn tỉnh Bình Phước (cũ)</w:t>
            </w: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2556F0" w:rsidRDefault="00E43B08" w:rsidP="00E43B08">
            <w:pPr>
              <w:jc w:val="center"/>
              <w:rPr>
                <w:sz w:val="22"/>
                <w:szCs w:val="22"/>
              </w:rPr>
            </w:pPr>
            <w:r w:rsidRPr="00496C6C">
              <w:rPr>
                <w:sz w:val="22"/>
                <w:szCs w:val="22"/>
              </w:rPr>
              <w:t>II30203</w:t>
            </w: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2556F0" w:rsidRDefault="00E43B08" w:rsidP="00E43B08">
            <w:pPr>
              <w:jc w:val="both"/>
              <w:rPr>
                <w:sz w:val="22"/>
                <w:szCs w:val="22"/>
              </w:rPr>
            </w:pPr>
            <w:r w:rsidRPr="00496C6C">
              <w:rPr>
                <w:sz w:val="22"/>
                <w:szCs w:val="22"/>
              </w:rPr>
              <w:t>Đá làm phụ gia sản xuất xi măng</w:t>
            </w:r>
          </w:p>
        </w:tc>
        <w:tc>
          <w:tcPr>
            <w:tcW w:w="850" w:type="dxa"/>
            <w:vAlign w:val="center"/>
          </w:tcPr>
          <w:p w:rsidR="00E43B08" w:rsidRPr="002556F0" w:rsidRDefault="00E43B08" w:rsidP="00E43B08">
            <w:pPr>
              <w:jc w:val="center"/>
              <w:rPr>
                <w:sz w:val="22"/>
                <w:szCs w:val="22"/>
              </w:rPr>
            </w:pPr>
          </w:p>
        </w:tc>
        <w:tc>
          <w:tcPr>
            <w:tcW w:w="1559" w:type="dxa"/>
            <w:vAlign w:val="center"/>
          </w:tcPr>
          <w:p w:rsidR="00E43B08" w:rsidRPr="002556F0" w:rsidRDefault="00E43B08" w:rsidP="00E43B08">
            <w:pPr>
              <w:jc w:val="right"/>
              <w:rPr>
                <w:sz w:val="22"/>
                <w:szCs w:val="22"/>
              </w:rPr>
            </w:pPr>
          </w:p>
        </w:tc>
        <w:tc>
          <w:tcPr>
            <w:tcW w:w="1985" w:type="dxa"/>
            <w:vAlign w:val="center"/>
          </w:tcPr>
          <w:p w:rsidR="00E43B08" w:rsidRPr="002556F0" w:rsidRDefault="00E43B08" w:rsidP="00E43B08">
            <w:pPr>
              <w:jc w:val="right"/>
              <w:rPr>
                <w:sz w:val="22"/>
                <w:szCs w:val="22"/>
              </w:rPr>
            </w:pPr>
          </w:p>
        </w:tc>
        <w:tc>
          <w:tcPr>
            <w:tcW w:w="2693" w:type="dxa"/>
            <w:vAlign w:val="center"/>
          </w:tcPr>
          <w:p w:rsidR="00E43B08" w:rsidRPr="002556F0"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496C6C" w:rsidRDefault="00E43B08" w:rsidP="00E43B08">
            <w:pPr>
              <w:jc w:val="center"/>
              <w:rPr>
                <w:sz w:val="22"/>
                <w:szCs w:val="22"/>
              </w:rPr>
            </w:pPr>
            <w:r w:rsidRPr="00496C6C">
              <w:rPr>
                <w:sz w:val="22"/>
                <w:szCs w:val="22"/>
              </w:rPr>
              <w:t>II302030</w:t>
            </w:r>
            <w:r>
              <w:rPr>
                <w:sz w:val="22"/>
                <w:szCs w:val="22"/>
              </w:rPr>
              <w:t>1</w:t>
            </w: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496C6C" w:rsidRDefault="00E43B08" w:rsidP="00E43B08">
            <w:pPr>
              <w:jc w:val="both"/>
              <w:rPr>
                <w:sz w:val="22"/>
                <w:szCs w:val="22"/>
              </w:rPr>
            </w:pPr>
            <w:r w:rsidRPr="001B7CC8">
              <w:rPr>
                <w:sz w:val="22"/>
                <w:szCs w:val="22"/>
              </w:rPr>
              <w:t>Đá puzolan (khoáng sản khai thác)</w:t>
            </w:r>
          </w:p>
        </w:tc>
        <w:tc>
          <w:tcPr>
            <w:tcW w:w="850" w:type="dxa"/>
            <w:vAlign w:val="center"/>
          </w:tcPr>
          <w:p w:rsidR="00E43B08" w:rsidRDefault="00E43B08" w:rsidP="00E43B08">
            <w:pPr>
              <w:jc w:val="center"/>
              <w:rPr>
                <w:sz w:val="22"/>
                <w:szCs w:val="22"/>
              </w:rPr>
            </w:pPr>
            <w:r w:rsidRPr="004C6246">
              <w:rPr>
                <w:sz w:val="22"/>
                <w:szCs w:val="22"/>
              </w:rPr>
              <w:t>m</w:t>
            </w:r>
            <w:r w:rsidRPr="004C6246">
              <w:rPr>
                <w:sz w:val="22"/>
                <w:szCs w:val="22"/>
                <w:vertAlign w:val="superscript"/>
              </w:rPr>
              <w:t>3</w:t>
            </w:r>
          </w:p>
        </w:tc>
        <w:tc>
          <w:tcPr>
            <w:tcW w:w="1559" w:type="dxa"/>
            <w:vAlign w:val="center"/>
          </w:tcPr>
          <w:p w:rsidR="00E43B08" w:rsidRDefault="00E43B08" w:rsidP="00E43B08">
            <w:pPr>
              <w:jc w:val="right"/>
              <w:rPr>
                <w:sz w:val="22"/>
                <w:szCs w:val="22"/>
              </w:rPr>
            </w:pPr>
            <w:r>
              <w:rPr>
                <w:sz w:val="22"/>
                <w:szCs w:val="22"/>
              </w:rPr>
              <w:t>Không có</w:t>
            </w:r>
          </w:p>
        </w:tc>
        <w:tc>
          <w:tcPr>
            <w:tcW w:w="1985" w:type="dxa"/>
            <w:vAlign w:val="center"/>
          </w:tcPr>
          <w:p w:rsidR="00E43B08" w:rsidRDefault="00E43B08" w:rsidP="00E43B08">
            <w:pPr>
              <w:jc w:val="right"/>
              <w:rPr>
                <w:sz w:val="22"/>
                <w:szCs w:val="22"/>
              </w:rPr>
            </w:pPr>
            <w:r>
              <w:rPr>
                <w:sz w:val="22"/>
                <w:szCs w:val="22"/>
              </w:rPr>
              <w:t>183.062</w:t>
            </w:r>
          </w:p>
        </w:tc>
        <w:tc>
          <w:tcPr>
            <w:tcW w:w="2693" w:type="dxa"/>
            <w:vAlign w:val="center"/>
          </w:tcPr>
          <w:p w:rsidR="00E43B08" w:rsidRDefault="00E43B08" w:rsidP="00E43B08">
            <w:pPr>
              <w:jc w:val="both"/>
              <w:rPr>
                <w:sz w:val="22"/>
                <w:szCs w:val="22"/>
              </w:rPr>
            </w:pPr>
            <w:r>
              <w:rPr>
                <w:sz w:val="22"/>
                <w:szCs w:val="22"/>
              </w:rPr>
              <w:t>Theo thông tin, dữ liệu tài nguyên phát sinh do Sở NN&amp;MT cung cấp, dữ liệu kê khai thuế và thông tin từ Quyết định 30/2025/QĐ-UBND về bảng giá thuế tài nguyên địa bàn tỉnh Bình Phước (cũ)</w:t>
            </w: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r w:rsidRPr="00496C6C">
              <w:rPr>
                <w:sz w:val="22"/>
                <w:szCs w:val="22"/>
              </w:rPr>
              <w:t>II3020303</w:t>
            </w: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2556F0" w:rsidRDefault="00E43B08" w:rsidP="00E43B08">
            <w:pPr>
              <w:jc w:val="both"/>
              <w:rPr>
                <w:sz w:val="22"/>
                <w:szCs w:val="22"/>
              </w:rPr>
            </w:pPr>
            <w:r w:rsidRPr="00496C6C">
              <w:rPr>
                <w:sz w:val="22"/>
                <w:szCs w:val="22"/>
              </w:rPr>
              <w:t>Đá cát kết đen (khoáng sản khai thác)</w:t>
            </w:r>
          </w:p>
        </w:tc>
        <w:tc>
          <w:tcPr>
            <w:tcW w:w="850" w:type="dxa"/>
            <w:vAlign w:val="center"/>
          </w:tcPr>
          <w:p w:rsidR="00E43B08" w:rsidRPr="002556F0" w:rsidRDefault="00E43B08" w:rsidP="00E43B08">
            <w:pPr>
              <w:jc w:val="center"/>
              <w:rPr>
                <w:sz w:val="22"/>
                <w:szCs w:val="22"/>
              </w:rPr>
            </w:pPr>
            <w:r>
              <w:rPr>
                <w:sz w:val="22"/>
                <w:szCs w:val="22"/>
              </w:rPr>
              <w:t>m</w:t>
            </w:r>
            <w:r>
              <w:rPr>
                <w:sz w:val="22"/>
                <w:szCs w:val="22"/>
                <w:vertAlign w:val="superscript"/>
              </w:rPr>
              <w:t>3</w:t>
            </w:r>
          </w:p>
        </w:tc>
        <w:tc>
          <w:tcPr>
            <w:tcW w:w="1559" w:type="dxa"/>
            <w:vAlign w:val="center"/>
          </w:tcPr>
          <w:p w:rsidR="00E43B08" w:rsidRDefault="00E43B08" w:rsidP="00E43B08">
            <w:pPr>
              <w:jc w:val="right"/>
              <w:rPr>
                <w:sz w:val="22"/>
                <w:szCs w:val="22"/>
              </w:rPr>
            </w:pPr>
            <w:r>
              <w:rPr>
                <w:sz w:val="22"/>
                <w:szCs w:val="22"/>
              </w:rPr>
              <w:t>66.986</w:t>
            </w:r>
          </w:p>
        </w:tc>
        <w:tc>
          <w:tcPr>
            <w:tcW w:w="1985" w:type="dxa"/>
            <w:vAlign w:val="center"/>
          </w:tcPr>
          <w:p w:rsidR="00E43B08" w:rsidRPr="002556F0" w:rsidRDefault="00E43B08" w:rsidP="00E43B08">
            <w:pPr>
              <w:jc w:val="right"/>
              <w:rPr>
                <w:sz w:val="22"/>
                <w:szCs w:val="22"/>
              </w:rPr>
            </w:pPr>
            <w:r>
              <w:rPr>
                <w:sz w:val="22"/>
                <w:szCs w:val="22"/>
              </w:rPr>
              <w:t>66.986</w:t>
            </w:r>
          </w:p>
        </w:tc>
        <w:tc>
          <w:tcPr>
            <w:tcW w:w="2693" w:type="dxa"/>
            <w:vAlign w:val="center"/>
          </w:tcPr>
          <w:p w:rsidR="00E43B08"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496C6C" w:rsidRDefault="00E43B08" w:rsidP="00E43B08">
            <w:pPr>
              <w:jc w:val="center"/>
              <w:rPr>
                <w:sz w:val="22"/>
                <w:szCs w:val="22"/>
              </w:rPr>
            </w:pPr>
            <w:r w:rsidRPr="00496C6C">
              <w:rPr>
                <w:sz w:val="22"/>
                <w:szCs w:val="22"/>
              </w:rPr>
              <w:t>II302030</w:t>
            </w:r>
            <w:r>
              <w:rPr>
                <w:sz w:val="22"/>
                <w:szCs w:val="22"/>
              </w:rPr>
              <w:t>4</w:t>
            </w: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496C6C" w:rsidRDefault="00E43B08" w:rsidP="00E43B08">
            <w:pPr>
              <w:jc w:val="both"/>
              <w:rPr>
                <w:sz w:val="22"/>
                <w:szCs w:val="22"/>
              </w:rPr>
            </w:pPr>
            <w:r w:rsidRPr="00BC05F7">
              <w:rPr>
                <w:sz w:val="22"/>
                <w:szCs w:val="22"/>
              </w:rPr>
              <w:t>Quặng laterit sắt (khoáng sản khai thác)</w:t>
            </w:r>
          </w:p>
        </w:tc>
        <w:tc>
          <w:tcPr>
            <w:tcW w:w="850" w:type="dxa"/>
            <w:vAlign w:val="center"/>
          </w:tcPr>
          <w:p w:rsidR="00E43B08" w:rsidRDefault="00E43B08" w:rsidP="00E43B08">
            <w:pPr>
              <w:jc w:val="center"/>
              <w:rPr>
                <w:sz w:val="22"/>
                <w:szCs w:val="22"/>
              </w:rPr>
            </w:pPr>
            <w:r>
              <w:rPr>
                <w:sz w:val="22"/>
                <w:szCs w:val="22"/>
              </w:rPr>
              <w:t>tấn</w:t>
            </w:r>
          </w:p>
        </w:tc>
        <w:tc>
          <w:tcPr>
            <w:tcW w:w="1559" w:type="dxa"/>
            <w:vAlign w:val="center"/>
          </w:tcPr>
          <w:p w:rsidR="00E43B08" w:rsidRDefault="00E43B08" w:rsidP="00E43B08">
            <w:pPr>
              <w:jc w:val="right"/>
              <w:rPr>
                <w:sz w:val="22"/>
                <w:szCs w:val="22"/>
              </w:rPr>
            </w:pPr>
            <w:r>
              <w:rPr>
                <w:sz w:val="22"/>
                <w:szCs w:val="22"/>
              </w:rPr>
              <w:t>Không có</w:t>
            </w:r>
          </w:p>
        </w:tc>
        <w:tc>
          <w:tcPr>
            <w:tcW w:w="1985" w:type="dxa"/>
            <w:vAlign w:val="center"/>
          </w:tcPr>
          <w:p w:rsidR="00E43B08" w:rsidRDefault="00E43B08" w:rsidP="00E43B08">
            <w:pPr>
              <w:jc w:val="right"/>
              <w:rPr>
                <w:sz w:val="22"/>
                <w:szCs w:val="22"/>
              </w:rPr>
            </w:pPr>
            <w:r>
              <w:rPr>
                <w:sz w:val="22"/>
                <w:szCs w:val="22"/>
              </w:rPr>
              <w:t>128.000</w:t>
            </w:r>
          </w:p>
        </w:tc>
        <w:tc>
          <w:tcPr>
            <w:tcW w:w="2693" w:type="dxa"/>
            <w:vAlign w:val="center"/>
          </w:tcPr>
          <w:p w:rsidR="00E43B08" w:rsidRDefault="00E43B08" w:rsidP="00E43B08">
            <w:pPr>
              <w:jc w:val="both"/>
              <w:rPr>
                <w:sz w:val="22"/>
                <w:szCs w:val="22"/>
              </w:rPr>
            </w:pPr>
            <w:r>
              <w:rPr>
                <w:sz w:val="22"/>
                <w:szCs w:val="22"/>
              </w:rPr>
              <w:t>Theo thông tin, dữ liệu tài nguyên phát sinh do Sở NN&amp;MT cung cấp, dữ liệu kê khai thuế và thông tin từ Quyết định 30/2025/QĐ-UBND về bảng giá thuế tài nguyên địa bàn tỉnh Bình Phước (cũ)</w:t>
            </w: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496C6C" w:rsidRDefault="00E43B08" w:rsidP="00E43B08">
            <w:pPr>
              <w:tabs>
                <w:tab w:val="left" w:pos="1701"/>
              </w:tabs>
              <w:spacing w:before="40" w:after="40"/>
              <w:jc w:val="center"/>
              <w:rPr>
                <w:b/>
                <w:sz w:val="22"/>
                <w:szCs w:val="22"/>
              </w:rPr>
            </w:pPr>
            <w:r w:rsidRPr="00496C6C">
              <w:rPr>
                <w:b/>
                <w:sz w:val="22"/>
                <w:szCs w:val="22"/>
              </w:rPr>
              <w:t>II5</w:t>
            </w:r>
          </w:p>
        </w:tc>
        <w:tc>
          <w:tcPr>
            <w:tcW w:w="904" w:type="dxa"/>
            <w:vAlign w:val="center"/>
          </w:tcPr>
          <w:p w:rsidR="00E43B08" w:rsidRPr="00496C6C" w:rsidRDefault="00E43B08" w:rsidP="00E43B08">
            <w:pPr>
              <w:jc w:val="center"/>
              <w:rPr>
                <w:b/>
                <w:sz w:val="22"/>
                <w:szCs w:val="22"/>
              </w:rPr>
            </w:pPr>
          </w:p>
        </w:tc>
        <w:tc>
          <w:tcPr>
            <w:tcW w:w="913" w:type="dxa"/>
            <w:vAlign w:val="center"/>
          </w:tcPr>
          <w:p w:rsidR="00E43B08" w:rsidRPr="00496C6C" w:rsidRDefault="00E43B08" w:rsidP="00E43B08">
            <w:pPr>
              <w:jc w:val="center"/>
              <w:rPr>
                <w:b/>
                <w:sz w:val="22"/>
                <w:szCs w:val="22"/>
              </w:rPr>
            </w:pPr>
          </w:p>
        </w:tc>
        <w:tc>
          <w:tcPr>
            <w:tcW w:w="1133" w:type="dxa"/>
            <w:vAlign w:val="center"/>
          </w:tcPr>
          <w:p w:rsidR="00E43B08" w:rsidRPr="00496C6C" w:rsidRDefault="00E43B08" w:rsidP="00E43B08">
            <w:pPr>
              <w:jc w:val="center"/>
              <w:rPr>
                <w:b/>
                <w:sz w:val="22"/>
                <w:szCs w:val="22"/>
              </w:rPr>
            </w:pPr>
          </w:p>
        </w:tc>
        <w:tc>
          <w:tcPr>
            <w:tcW w:w="647" w:type="dxa"/>
            <w:vAlign w:val="center"/>
          </w:tcPr>
          <w:p w:rsidR="00E43B08" w:rsidRPr="00496C6C" w:rsidRDefault="00E43B08" w:rsidP="00E43B08">
            <w:pPr>
              <w:jc w:val="center"/>
              <w:rPr>
                <w:b/>
                <w:sz w:val="22"/>
                <w:szCs w:val="22"/>
              </w:rPr>
            </w:pPr>
          </w:p>
        </w:tc>
        <w:tc>
          <w:tcPr>
            <w:tcW w:w="2410" w:type="dxa"/>
            <w:vAlign w:val="center"/>
          </w:tcPr>
          <w:p w:rsidR="00E43B08" w:rsidRPr="00496C6C" w:rsidRDefault="00E43B08" w:rsidP="00E43B08">
            <w:pPr>
              <w:jc w:val="both"/>
              <w:rPr>
                <w:b/>
                <w:sz w:val="22"/>
                <w:szCs w:val="22"/>
              </w:rPr>
            </w:pPr>
            <w:r w:rsidRPr="00496C6C">
              <w:rPr>
                <w:b/>
                <w:sz w:val="22"/>
                <w:szCs w:val="22"/>
              </w:rPr>
              <w:t>Cát</w:t>
            </w:r>
          </w:p>
        </w:tc>
        <w:tc>
          <w:tcPr>
            <w:tcW w:w="850" w:type="dxa"/>
            <w:vAlign w:val="center"/>
          </w:tcPr>
          <w:p w:rsidR="00E43B08" w:rsidRPr="002556F0" w:rsidRDefault="00E43B08" w:rsidP="00E43B08">
            <w:pPr>
              <w:jc w:val="center"/>
              <w:rPr>
                <w:sz w:val="22"/>
                <w:szCs w:val="22"/>
              </w:rPr>
            </w:pPr>
          </w:p>
        </w:tc>
        <w:tc>
          <w:tcPr>
            <w:tcW w:w="1559" w:type="dxa"/>
            <w:vAlign w:val="center"/>
          </w:tcPr>
          <w:p w:rsidR="00E43B08" w:rsidRPr="002556F0" w:rsidRDefault="00E43B08" w:rsidP="00E43B08">
            <w:pPr>
              <w:jc w:val="right"/>
              <w:rPr>
                <w:sz w:val="22"/>
                <w:szCs w:val="22"/>
              </w:rPr>
            </w:pPr>
          </w:p>
        </w:tc>
        <w:tc>
          <w:tcPr>
            <w:tcW w:w="1985" w:type="dxa"/>
            <w:vAlign w:val="center"/>
          </w:tcPr>
          <w:p w:rsidR="00E43B08" w:rsidRPr="002556F0" w:rsidRDefault="00E43B08" w:rsidP="00E43B08">
            <w:pPr>
              <w:jc w:val="right"/>
              <w:rPr>
                <w:sz w:val="22"/>
                <w:szCs w:val="22"/>
              </w:rPr>
            </w:pPr>
          </w:p>
        </w:tc>
        <w:tc>
          <w:tcPr>
            <w:tcW w:w="2693" w:type="dxa"/>
            <w:vAlign w:val="center"/>
          </w:tcPr>
          <w:p w:rsidR="00E43B08" w:rsidRPr="002556F0"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r w:rsidRPr="00496C6C">
              <w:rPr>
                <w:sz w:val="22"/>
                <w:szCs w:val="22"/>
              </w:rPr>
              <w:t>II501</w:t>
            </w: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2556F0" w:rsidRDefault="00E43B08" w:rsidP="00E43B08">
            <w:pPr>
              <w:jc w:val="both"/>
              <w:rPr>
                <w:sz w:val="22"/>
                <w:szCs w:val="22"/>
              </w:rPr>
            </w:pPr>
            <w:r w:rsidRPr="00496C6C">
              <w:rPr>
                <w:sz w:val="22"/>
                <w:szCs w:val="22"/>
              </w:rPr>
              <w:t>Cát san lấp (bao gồm cả cát nhiễm mặn)</w:t>
            </w:r>
          </w:p>
        </w:tc>
        <w:tc>
          <w:tcPr>
            <w:tcW w:w="850" w:type="dxa"/>
            <w:vAlign w:val="center"/>
          </w:tcPr>
          <w:p w:rsidR="00E43B08" w:rsidRPr="002556F0" w:rsidRDefault="00E43B08" w:rsidP="00E43B08">
            <w:pPr>
              <w:jc w:val="center"/>
              <w:rPr>
                <w:sz w:val="22"/>
                <w:szCs w:val="22"/>
              </w:rPr>
            </w:pPr>
            <w:r>
              <w:rPr>
                <w:sz w:val="22"/>
                <w:szCs w:val="22"/>
              </w:rPr>
              <w:t>m</w:t>
            </w:r>
            <w:r>
              <w:rPr>
                <w:sz w:val="22"/>
                <w:szCs w:val="22"/>
                <w:vertAlign w:val="superscript"/>
              </w:rPr>
              <w:t>3</w:t>
            </w:r>
          </w:p>
        </w:tc>
        <w:tc>
          <w:tcPr>
            <w:tcW w:w="1559" w:type="dxa"/>
            <w:vAlign w:val="center"/>
          </w:tcPr>
          <w:p w:rsidR="00E43B08" w:rsidRDefault="00E43B08" w:rsidP="00E43B08">
            <w:pPr>
              <w:jc w:val="right"/>
              <w:rPr>
                <w:sz w:val="22"/>
                <w:szCs w:val="22"/>
              </w:rPr>
            </w:pPr>
            <w:r>
              <w:rPr>
                <w:sz w:val="22"/>
                <w:szCs w:val="22"/>
              </w:rPr>
              <w:t>80.000</w:t>
            </w:r>
          </w:p>
        </w:tc>
        <w:tc>
          <w:tcPr>
            <w:tcW w:w="1985" w:type="dxa"/>
            <w:vAlign w:val="center"/>
          </w:tcPr>
          <w:p w:rsidR="00E43B08" w:rsidRPr="002556F0" w:rsidRDefault="00E43B08" w:rsidP="00E43B08">
            <w:pPr>
              <w:jc w:val="right"/>
              <w:rPr>
                <w:sz w:val="22"/>
                <w:szCs w:val="22"/>
              </w:rPr>
            </w:pPr>
            <w:r>
              <w:rPr>
                <w:sz w:val="22"/>
                <w:szCs w:val="22"/>
              </w:rPr>
              <w:t>80.000</w:t>
            </w:r>
          </w:p>
        </w:tc>
        <w:tc>
          <w:tcPr>
            <w:tcW w:w="2693" w:type="dxa"/>
            <w:vAlign w:val="center"/>
          </w:tcPr>
          <w:p w:rsidR="00E43B08"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r w:rsidRPr="00496C6C">
              <w:rPr>
                <w:sz w:val="22"/>
                <w:szCs w:val="22"/>
              </w:rPr>
              <w:t>II502</w:t>
            </w: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2556F0" w:rsidRDefault="00E43B08" w:rsidP="00E43B08">
            <w:pPr>
              <w:jc w:val="both"/>
              <w:rPr>
                <w:sz w:val="22"/>
                <w:szCs w:val="22"/>
              </w:rPr>
            </w:pPr>
            <w:r w:rsidRPr="00B16B29">
              <w:rPr>
                <w:sz w:val="22"/>
                <w:szCs w:val="22"/>
              </w:rPr>
              <w:t>Cát xây dựng</w:t>
            </w:r>
          </w:p>
        </w:tc>
        <w:tc>
          <w:tcPr>
            <w:tcW w:w="850" w:type="dxa"/>
            <w:vAlign w:val="center"/>
          </w:tcPr>
          <w:p w:rsidR="00E43B08" w:rsidRPr="002556F0" w:rsidRDefault="00E43B08" w:rsidP="00E43B08">
            <w:pPr>
              <w:jc w:val="center"/>
              <w:rPr>
                <w:sz w:val="22"/>
                <w:szCs w:val="22"/>
              </w:rPr>
            </w:pPr>
          </w:p>
        </w:tc>
        <w:tc>
          <w:tcPr>
            <w:tcW w:w="1559" w:type="dxa"/>
            <w:vAlign w:val="center"/>
          </w:tcPr>
          <w:p w:rsidR="00E43B08" w:rsidRPr="002556F0" w:rsidRDefault="00E43B08" w:rsidP="00E43B08">
            <w:pPr>
              <w:jc w:val="right"/>
              <w:rPr>
                <w:sz w:val="22"/>
                <w:szCs w:val="22"/>
              </w:rPr>
            </w:pPr>
          </w:p>
        </w:tc>
        <w:tc>
          <w:tcPr>
            <w:tcW w:w="1985" w:type="dxa"/>
            <w:vAlign w:val="center"/>
          </w:tcPr>
          <w:p w:rsidR="00E43B08" w:rsidRPr="002556F0" w:rsidRDefault="00E43B08" w:rsidP="00E43B08">
            <w:pPr>
              <w:jc w:val="right"/>
              <w:rPr>
                <w:sz w:val="22"/>
                <w:szCs w:val="22"/>
              </w:rPr>
            </w:pPr>
          </w:p>
        </w:tc>
        <w:tc>
          <w:tcPr>
            <w:tcW w:w="2693" w:type="dxa"/>
            <w:vAlign w:val="center"/>
          </w:tcPr>
          <w:p w:rsidR="00E43B08" w:rsidRPr="002556F0"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2556F0" w:rsidRDefault="00E43B08" w:rsidP="00E43B08">
            <w:pPr>
              <w:jc w:val="center"/>
              <w:rPr>
                <w:sz w:val="22"/>
                <w:szCs w:val="22"/>
              </w:rPr>
            </w:pPr>
            <w:r w:rsidRPr="00B16B29">
              <w:rPr>
                <w:sz w:val="22"/>
                <w:szCs w:val="22"/>
              </w:rPr>
              <w:t>II50202</w:t>
            </w: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2556F0" w:rsidRDefault="00E43B08" w:rsidP="00E43B08">
            <w:pPr>
              <w:jc w:val="both"/>
              <w:rPr>
                <w:sz w:val="22"/>
                <w:szCs w:val="22"/>
              </w:rPr>
            </w:pPr>
            <w:r w:rsidRPr="00B16B29">
              <w:rPr>
                <w:sz w:val="22"/>
                <w:szCs w:val="22"/>
              </w:rPr>
              <w:t>Cát vàng dùng trong xây dựng</w:t>
            </w:r>
          </w:p>
        </w:tc>
        <w:tc>
          <w:tcPr>
            <w:tcW w:w="850" w:type="dxa"/>
            <w:vAlign w:val="center"/>
          </w:tcPr>
          <w:p w:rsidR="00E43B08" w:rsidRPr="002556F0" w:rsidRDefault="00E43B08" w:rsidP="00E43B08">
            <w:pPr>
              <w:jc w:val="center"/>
              <w:rPr>
                <w:sz w:val="22"/>
                <w:szCs w:val="22"/>
              </w:rPr>
            </w:pPr>
            <w:r>
              <w:rPr>
                <w:sz w:val="22"/>
                <w:szCs w:val="22"/>
              </w:rPr>
              <w:t>m</w:t>
            </w:r>
            <w:r>
              <w:rPr>
                <w:sz w:val="22"/>
                <w:szCs w:val="22"/>
                <w:vertAlign w:val="superscript"/>
              </w:rPr>
              <w:t>3</w:t>
            </w:r>
          </w:p>
        </w:tc>
        <w:tc>
          <w:tcPr>
            <w:tcW w:w="1559" w:type="dxa"/>
            <w:vAlign w:val="center"/>
          </w:tcPr>
          <w:p w:rsidR="00E43B08" w:rsidRDefault="00E43B08" w:rsidP="00E43B08">
            <w:pPr>
              <w:jc w:val="right"/>
              <w:rPr>
                <w:sz w:val="22"/>
                <w:szCs w:val="22"/>
              </w:rPr>
            </w:pPr>
            <w:r>
              <w:rPr>
                <w:sz w:val="22"/>
                <w:szCs w:val="22"/>
              </w:rPr>
              <w:t>360.550</w:t>
            </w:r>
          </w:p>
        </w:tc>
        <w:tc>
          <w:tcPr>
            <w:tcW w:w="1985" w:type="dxa"/>
            <w:vAlign w:val="center"/>
          </w:tcPr>
          <w:p w:rsidR="00E43B08" w:rsidRPr="002556F0" w:rsidRDefault="00E43B08" w:rsidP="00E43B08">
            <w:pPr>
              <w:jc w:val="right"/>
              <w:rPr>
                <w:sz w:val="22"/>
                <w:szCs w:val="22"/>
              </w:rPr>
            </w:pPr>
            <w:r>
              <w:rPr>
                <w:sz w:val="22"/>
                <w:szCs w:val="22"/>
              </w:rPr>
              <w:t>360.550</w:t>
            </w:r>
          </w:p>
        </w:tc>
        <w:tc>
          <w:tcPr>
            <w:tcW w:w="2693" w:type="dxa"/>
            <w:vAlign w:val="center"/>
          </w:tcPr>
          <w:p w:rsidR="00E43B08"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B16B29"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r>
              <w:rPr>
                <w:sz w:val="22"/>
                <w:szCs w:val="22"/>
              </w:rPr>
              <w:t>II5020202</w:t>
            </w: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B16B29" w:rsidRDefault="00E43B08" w:rsidP="00E43B08">
            <w:pPr>
              <w:jc w:val="both"/>
              <w:rPr>
                <w:sz w:val="22"/>
                <w:szCs w:val="22"/>
              </w:rPr>
            </w:pPr>
            <w:r w:rsidRPr="00105625">
              <w:rPr>
                <w:sz w:val="22"/>
                <w:szCs w:val="22"/>
              </w:rPr>
              <w:t>Cát khai thác tuyển rửa trên bờ</w:t>
            </w:r>
          </w:p>
        </w:tc>
        <w:tc>
          <w:tcPr>
            <w:tcW w:w="850" w:type="dxa"/>
            <w:vAlign w:val="center"/>
          </w:tcPr>
          <w:p w:rsidR="00E43B08" w:rsidRDefault="00E43B08" w:rsidP="00E43B08">
            <w:pPr>
              <w:jc w:val="center"/>
              <w:rPr>
                <w:sz w:val="22"/>
                <w:szCs w:val="22"/>
              </w:rPr>
            </w:pPr>
            <w:r>
              <w:rPr>
                <w:sz w:val="22"/>
                <w:szCs w:val="22"/>
              </w:rPr>
              <w:t>m</w:t>
            </w:r>
            <w:r>
              <w:rPr>
                <w:sz w:val="22"/>
                <w:szCs w:val="22"/>
                <w:vertAlign w:val="superscript"/>
              </w:rPr>
              <w:t>3</w:t>
            </w:r>
          </w:p>
        </w:tc>
        <w:tc>
          <w:tcPr>
            <w:tcW w:w="1559" w:type="dxa"/>
            <w:vAlign w:val="center"/>
          </w:tcPr>
          <w:p w:rsidR="00E43B08" w:rsidRDefault="00E43B08" w:rsidP="00E43B08">
            <w:pPr>
              <w:jc w:val="right"/>
              <w:rPr>
                <w:sz w:val="22"/>
                <w:szCs w:val="22"/>
              </w:rPr>
            </w:pPr>
            <w:r>
              <w:rPr>
                <w:sz w:val="22"/>
                <w:szCs w:val="22"/>
              </w:rPr>
              <w:t>360.550</w:t>
            </w:r>
          </w:p>
        </w:tc>
        <w:tc>
          <w:tcPr>
            <w:tcW w:w="1985" w:type="dxa"/>
            <w:vAlign w:val="center"/>
          </w:tcPr>
          <w:p w:rsidR="00E43B08" w:rsidRDefault="00E43B08" w:rsidP="00E43B08">
            <w:pPr>
              <w:jc w:val="right"/>
              <w:rPr>
                <w:sz w:val="22"/>
                <w:szCs w:val="22"/>
              </w:rPr>
            </w:pPr>
            <w:r>
              <w:rPr>
                <w:sz w:val="22"/>
                <w:szCs w:val="22"/>
              </w:rPr>
              <w:t>360.550</w:t>
            </w:r>
          </w:p>
        </w:tc>
        <w:tc>
          <w:tcPr>
            <w:tcW w:w="2693" w:type="dxa"/>
            <w:vAlign w:val="center"/>
          </w:tcPr>
          <w:p w:rsidR="00E43B08"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B16B29" w:rsidRDefault="00E43B08" w:rsidP="00E43B08">
            <w:pPr>
              <w:tabs>
                <w:tab w:val="left" w:pos="1701"/>
              </w:tabs>
              <w:spacing w:before="40" w:after="40"/>
              <w:jc w:val="center"/>
              <w:rPr>
                <w:b/>
                <w:sz w:val="22"/>
                <w:szCs w:val="22"/>
              </w:rPr>
            </w:pPr>
            <w:r w:rsidRPr="00B16B29">
              <w:rPr>
                <w:b/>
                <w:sz w:val="22"/>
                <w:szCs w:val="22"/>
              </w:rPr>
              <w:t>II7</w:t>
            </w:r>
          </w:p>
        </w:tc>
        <w:tc>
          <w:tcPr>
            <w:tcW w:w="904" w:type="dxa"/>
            <w:vAlign w:val="center"/>
          </w:tcPr>
          <w:p w:rsidR="00E43B08" w:rsidRPr="00B16B29" w:rsidRDefault="00E43B08" w:rsidP="00E43B08">
            <w:pPr>
              <w:jc w:val="center"/>
              <w:rPr>
                <w:b/>
                <w:sz w:val="22"/>
                <w:szCs w:val="22"/>
              </w:rPr>
            </w:pPr>
          </w:p>
        </w:tc>
        <w:tc>
          <w:tcPr>
            <w:tcW w:w="913" w:type="dxa"/>
            <w:vAlign w:val="center"/>
          </w:tcPr>
          <w:p w:rsidR="00E43B08" w:rsidRPr="00B16B29" w:rsidRDefault="00E43B08" w:rsidP="00E43B08">
            <w:pPr>
              <w:jc w:val="center"/>
              <w:rPr>
                <w:b/>
                <w:sz w:val="22"/>
                <w:szCs w:val="22"/>
              </w:rPr>
            </w:pPr>
          </w:p>
        </w:tc>
        <w:tc>
          <w:tcPr>
            <w:tcW w:w="1133" w:type="dxa"/>
            <w:vAlign w:val="center"/>
          </w:tcPr>
          <w:p w:rsidR="00E43B08" w:rsidRPr="00B16B29" w:rsidRDefault="00E43B08" w:rsidP="00E43B08">
            <w:pPr>
              <w:jc w:val="center"/>
              <w:rPr>
                <w:b/>
                <w:sz w:val="22"/>
                <w:szCs w:val="22"/>
              </w:rPr>
            </w:pPr>
          </w:p>
        </w:tc>
        <w:tc>
          <w:tcPr>
            <w:tcW w:w="647" w:type="dxa"/>
            <w:vAlign w:val="center"/>
          </w:tcPr>
          <w:p w:rsidR="00E43B08" w:rsidRPr="00B16B29" w:rsidRDefault="00E43B08" w:rsidP="00E43B08">
            <w:pPr>
              <w:jc w:val="center"/>
              <w:rPr>
                <w:b/>
                <w:sz w:val="22"/>
                <w:szCs w:val="22"/>
              </w:rPr>
            </w:pPr>
          </w:p>
        </w:tc>
        <w:tc>
          <w:tcPr>
            <w:tcW w:w="2410" w:type="dxa"/>
            <w:vAlign w:val="center"/>
          </w:tcPr>
          <w:p w:rsidR="00E43B08" w:rsidRPr="00B16B29" w:rsidRDefault="00E43B08" w:rsidP="00E43B08">
            <w:pPr>
              <w:jc w:val="both"/>
              <w:rPr>
                <w:b/>
                <w:sz w:val="22"/>
                <w:szCs w:val="22"/>
              </w:rPr>
            </w:pPr>
            <w:r w:rsidRPr="00A74A03">
              <w:rPr>
                <w:b/>
                <w:sz w:val="22"/>
                <w:szCs w:val="22"/>
              </w:rPr>
              <w:t>Đất làm gạch, ngói</w:t>
            </w:r>
            <w:r>
              <w:rPr>
                <w:b/>
                <w:sz w:val="22"/>
                <w:szCs w:val="22"/>
              </w:rPr>
              <w:t xml:space="preserve"> (hoặc sét làm gạch, ngói)</w:t>
            </w:r>
          </w:p>
        </w:tc>
        <w:tc>
          <w:tcPr>
            <w:tcW w:w="850" w:type="dxa"/>
            <w:vAlign w:val="center"/>
          </w:tcPr>
          <w:p w:rsidR="00E43B08" w:rsidRPr="002556F0" w:rsidRDefault="00E43B08" w:rsidP="00E43B08">
            <w:pPr>
              <w:jc w:val="center"/>
              <w:rPr>
                <w:sz w:val="22"/>
                <w:szCs w:val="22"/>
              </w:rPr>
            </w:pPr>
            <w:r>
              <w:rPr>
                <w:sz w:val="22"/>
                <w:szCs w:val="22"/>
              </w:rPr>
              <w:t>m</w:t>
            </w:r>
            <w:r>
              <w:rPr>
                <w:sz w:val="22"/>
                <w:szCs w:val="22"/>
                <w:vertAlign w:val="superscript"/>
              </w:rPr>
              <w:t>3</w:t>
            </w:r>
          </w:p>
        </w:tc>
        <w:tc>
          <w:tcPr>
            <w:tcW w:w="1559" w:type="dxa"/>
            <w:vAlign w:val="center"/>
          </w:tcPr>
          <w:p w:rsidR="00E43B08" w:rsidRDefault="00E43B08" w:rsidP="00E43B08">
            <w:pPr>
              <w:jc w:val="right"/>
              <w:rPr>
                <w:sz w:val="22"/>
                <w:szCs w:val="22"/>
              </w:rPr>
            </w:pPr>
            <w:r>
              <w:rPr>
                <w:sz w:val="22"/>
                <w:szCs w:val="22"/>
              </w:rPr>
              <w:t>150.000</w:t>
            </w:r>
          </w:p>
        </w:tc>
        <w:tc>
          <w:tcPr>
            <w:tcW w:w="1985" w:type="dxa"/>
            <w:vAlign w:val="center"/>
          </w:tcPr>
          <w:p w:rsidR="00E43B08" w:rsidRPr="002556F0" w:rsidRDefault="00E43B08" w:rsidP="00E43B08">
            <w:pPr>
              <w:jc w:val="right"/>
              <w:rPr>
                <w:sz w:val="22"/>
                <w:szCs w:val="22"/>
              </w:rPr>
            </w:pPr>
            <w:r>
              <w:rPr>
                <w:sz w:val="22"/>
                <w:szCs w:val="22"/>
              </w:rPr>
              <w:t>150.000</w:t>
            </w:r>
          </w:p>
        </w:tc>
        <w:tc>
          <w:tcPr>
            <w:tcW w:w="2693" w:type="dxa"/>
            <w:vAlign w:val="center"/>
          </w:tcPr>
          <w:p w:rsidR="00E43B08"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B16B29" w:rsidRDefault="00E43B08" w:rsidP="00E43B08">
            <w:pPr>
              <w:tabs>
                <w:tab w:val="left" w:pos="1701"/>
              </w:tabs>
              <w:spacing w:before="40" w:after="40"/>
              <w:jc w:val="center"/>
              <w:rPr>
                <w:b/>
                <w:sz w:val="22"/>
                <w:szCs w:val="22"/>
              </w:rPr>
            </w:pPr>
            <w:r>
              <w:rPr>
                <w:b/>
                <w:sz w:val="22"/>
                <w:szCs w:val="22"/>
              </w:rPr>
              <w:t>II11</w:t>
            </w: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B16B29" w:rsidRDefault="00E43B08" w:rsidP="00E43B08">
            <w:pPr>
              <w:jc w:val="both"/>
              <w:rPr>
                <w:b/>
                <w:sz w:val="22"/>
                <w:szCs w:val="22"/>
              </w:rPr>
            </w:pPr>
            <w:r w:rsidRPr="00AA475A">
              <w:rPr>
                <w:b/>
                <w:sz w:val="22"/>
                <w:szCs w:val="22"/>
              </w:rPr>
              <w:t>Cao lanh (Kaolin/đất sét trắng/đất sét trầm tích; Quặng Felspat làm nguyên liệu gốm sứ)</w:t>
            </w:r>
          </w:p>
        </w:tc>
        <w:tc>
          <w:tcPr>
            <w:tcW w:w="850" w:type="dxa"/>
            <w:vAlign w:val="center"/>
          </w:tcPr>
          <w:p w:rsidR="00E43B08" w:rsidRPr="002556F0" w:rsidRDefault="00E43B08" w:rsidP="00E43B08">
            <w:pPr>
              <w:jc w:val="center"/>
              <w:rPr>
                <w:sz w:val="22"/>
                <w:szCs w:val="22"/>
              </w:rPr>
            </w:pPr>
          </w:p>
        </w:tc>
        <w:tc>
          <w:tcPr>
            <w:tcW w:w="1559" w:type="dxa"/>
            <w:vAlign w:val="center"/>
          </w:tcPr>
          <w:p w:rsidR="00E43B08" w:rsidRPr="002556F0" w:rsidRDefault="00E43B08" w:rsidP="00E43B08">
            <w:pPr>
              <w:jc w:val="right"/>
              <w:rPr>
                <w:sz w:val="22"/>
                <w:szCs w:val="22"/>
              </w:rPr>
            </w:pPr>
          </w:p>
        </w:tc>
        <w:tc>
          <w:tcPr>
            <w:tcW w:w="1985" w:type="dxa"/>
            <w:vAlign w:val="center"/>
          </w:tcPr>
          <w:p w:rsidR="00E43B08" w:rsidRPr="002556F0" w:rsidRDefault="00E43B08" w:rsidP="00E43B08">
            <w:pPr>
              <w:jc w:val="right"/>
              <w:rPr>
                <w:sz w:val="22"/>
                <w:szCs w:val="22"/>
              </w:rPr>
            </w:pPr>
          </w:p>
        </w:tc>
        <w:tc>
          <w:tcPr>
            <w:tcW w:w="2693" w:type="dxa"/>
            <w:vAlign w:val="center"/>
          </w:tcPr>
          <w:p w:rsidR="00E43B08" w:rsidRPr="002556F0"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B16B29" w:rsidRDefault="00E43B08" w:rsidP="00E43B08">
            <w:pPr>
              <w:tabs>
                <w:tab w:val="left" w:pos="1701"/>
              </w:tabs>
              <w:spacing w:before="40" w:after="40"/>
              <w:jc w:val="center"/>
              <w:rPr>
                <w:b/>
                <w:sz w:val="22"/>
                <w:szCs w:val="22"/>
              </w:rPr>
            </w:pPr>
          </w:p>
        </w:tc>
        <w:tc>
          <w:tcPr>
            <w:tcW w:w="904" w:type="dxa"/>
            <w:vAlign w:val="center"/>
          </w:tcPr>
          <w:p w:rsidR="00E43B08" w:rsidRPr="002556F0" w:rsidRDefault="00E43B08" w:rsidP="00E43B08">
            <w:pPr>
              <w:jc w:val="center"/>
              <w:rPr>
                <w:sz w:val="22"/>
                <w:szCs w:val="22"/>
              </w:rPr>
            </w:pPr>
            <w:r>
              <w:rPr>
                <w:sz w:val="22"/>
                <w:szCs w:val="22"/>
              </w:rPr>
              <w:t>II1101</w:t>
            </w: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990D7E" w:rsidRDefault="00E43B08" w:rsidP="00E43B08">
            <w:pPr>
              <w:jc w:val="both"/>
              <w:rPr>
                <w:sz w:val="22"/>
                <w:szCs w:val="22"/>
              </w:rPr>
            </w:pPr>
            <w:r w:rsidRPr="00990D7E">
              <w:rPr>
                <w:sz w:val="22"/>
                <w:szCs w:val="22"/>
              </w:rPr>
              <w:t>Cao lanh (khoáng sản khai thác, chưa rây)</w:t>
            </w:r>
          </w:p>
        </w:tc>
        <w:tc>
          <w:tcPr>
            <w:tcW w:w="850" w:type="dxa"/>
            <w:vAlign w:val="center"/>
          </w:tcPr>
          <w:p w:rsidR="00E43B08" w:rsidRPr="00990D7E" w:rsidRDefault="00E43B08" w:rsidP="00E43B08">
            <w:pPr>
              <w:jc w:val="center"/>
              <w:rPr>
                <w:sz w:val="22"/>
                <w:szCs w:val="22"/>
              </w:rPr>
            </w:pPr>
            <w:r>
              <w:rPr>
                <w:sz w:val="22"/>
                <w:szCs w:val="22"/>
              </w:rPr>
              <w:t>tấn</w:t>
            </w:r>
          </w:p>
        </w:tc>
        <w:tc>
          <w:tcPr>
            <w:tcW w:w="1559" w:type="dxa"/>
            <w:vAlign w:val="center"/>
          </w:tcPr>
          <w:p w:rsidR="00E43B08" w:rsidRDefault="00E43B08" w:rsidP="00E43B08">
            <w:pPr>
              <w:jc w:val="right"/>
              <w:rPr>
                <w:sz w:val="22"/>
                <w:szCs w:val="22"/>
              </w:rPr>
            </w:pPr>
            <w:r>
              <w:rPr>
                <w:sz w:val="22"/>
                <w:szCs w:val="22"/>
              </w:rPr>
              <w:t>Không có</w:t>
            </w:r>
          </w:p>
        </w:tc>
        <w:tc>
          <w:tcPr>
            <w:tcW w:w="1985" w:type="dxa"/>
            <w:vAlign w:val="center"/>
          </w:tcPr>
          <w:p w:rsidR="00E43B08" w:rsidRPr="00990D7E" w:rsidRDefault="00E43B08" w:rsidP="00E43B08">
            <w:pPr>
              <w:jc w:val="right"/>
              <w:rPr>
                <w:sz w:val="22"/>
                <w:szCs w:val="22"/>
              </w:rPr>
            </w:pPr>
            <w:r>
              <w:rPr>
                <w:sz w:val="22"/>
                <w:szCs w:val="22"/>
              </w:rPr>
              <w:t>232.500</w:t>
            </w:r>
          </w:p>
        </w:tc>
        <w:tc>
          <w:tcPr>
            <w:tcW w:w="2693" w:type="dxa"/>
            <w:vAlign w:val="center"/>
          </w:tcPr>
          <w:p w:rsidR="00E43B08" w:rsidRDefault="00E43B08" w:rsidP="00E43B08">
            <w:pPr>
              <w:jc w:val="both"/>
              <w:rPr>
                <w:sz w:val="22"/>
                <w:szCs w:val="22"/>
              </w:rPr>
            </w:pPr>
            <w:r>
              <w:rPr>
                <w:sz w:val="22"/>
                <w:szCs w:val="22"/>
              </w:rPr>
              <w:t>Theo thông tin, dữ liệu tài nguyên phát sinh do Sở NN&amp;MT cung cấp, dữ liệu kê khai thuế và thông tin từ Quyết định 30/2025/QĐ-UBND về bảng giá thuế tài nguyên địa bàn tỉnh Bình Phước (cũ)</w:t>
            </w: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B16B29" w:rsidRDefault="00E43B08" w:rsidP="00E43B08">
            <w:pPr>
              <w:tabs>
                <w:tab w:val="left" w:pos="1701"/>
              </w:tabs>
              <w:spacing w:before="40" w:after="40"/>
              <w:jc w:val="center"/>
              <w:rPr>
                <w:b/>
                <w:sz w:val="22"/>
                <w:szCs w:val="22"/>
              </w:rPr>
            </w:pPr>
          </w:p>
        </w:tc>
        <w:tc>
          <w:tcPr>
            <w:tcW w:w="904" w:type="dxa"/>
            <w:vAlign w:val="center"/>
          </w:tcPr>
          <w:p w:rsidR="00E43B08" w:rsidRPr="002556F0" w:rsidRDefault="00E43B08" w:rsidP="00E43B08">
            <w:pPr>
              <w:jc w:val="center"/>
              <w:rPr>
                <w:sz w:val="22"/>
                <w:szCs w:val="22"/>
              </w:rPr>
            </w:pPr>
            <w:r>
              <w:rPr>
                <w:sz w:val="22"/>
                <w:szCs w:val="22"/>
              </w:rPr>
              <w:t>II1102</w:t>
            </w: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B16B29" w:rsidRDefault="00E43B08" w:rsidP="00E43B08">
            <w:pPr>
              <w:jc w:val="both"/>
              <w:rPr>
                <w:b/>
                <w:sz w:val="22"/>
                <w:szCs w:val="22"/>
              </w:rPr>
            </w:pPr>
            <w:r>
              <w:rPr>
                <w:sz w:val="22"/>
                <w:szCs w:val="22"/>
              </w:rPr>
              <w:t>Cao lanh đã rây</w:t>
            </w:r>
          </w:p>
        </w:tc>
        <w:tc>
          <w:tcPr>
            <w:tcW w:w="850" w:type="dxa"/>
            <w:vAlign w:val="center"/>
          </w:tcPr>
          <w:p w:rsidR="00E43B08" w:rsidRPr="002556F0" w:rsidRDefault="00E43B08" w:rsidP="00E43B08">
            <w:pPr>
              <w:jc w:val="center"/>
              <w:rPr>
                <w:sz w:val="22"/>
                <w:szCs w:val="22"/>
              </w:rPr>
            </w:pPr>
            <w:r>
              <w:rPr>
                <w:sz w:val="22"/>
                <w:szCs w:val="22"/>
              </w:rPr>
              <w:t>tấn</w:t>
            </w:r>
          </w:p>
        </w:tc>
        <w:tc>
          <w:tcPr>
            <w:tcW w:w="1559" w:type="dxa"/>
            <w:vAlign w:val="center"/>
          </w:tcPr>
          <w:p w:rsidR="00E43B08" w:rsidRDefault="00E43B08" w:rsidP="00E43B08">
            <w:pPr>
              <w:jc w:val="right"/>
              <w:rPr>
                <w:sz w:val="22"/>
                <w:szCs w:val="22"/>
              </w:rPr>
            </w:pPr>
            <w:r>
              <w:rPr>
                <w:sz w:val="22"/>
                <w:szCs w:val="22"/>
              </w:rPr>
              <w:t>Không có</w:t>
            </w:r>
          </w:p>
        </w:tc>
        <w:tc>
          <w:tcPr>
            <w:tcW w:w="1985" w:type="dxa"/>
            <w:vAlign w:val="center"/>
          </w:tcPr>
          <w:p w:rsidR="00E43B08" w:rsidRPr="002556F0" w:rsidRDefault="00E43B08" w:rsidP="00E43B08">
            <w:pPr>
              <w:jc w:val="right"/>
              <w:rPr>
                <w:sz w:val="22"/>
                <w:szCs w:val="22"/>
              </w:rPr>
            </w:pPr>
            <w:r>
              <w:rPr>
                <w:sz w:val="22"/>
                <w:szCs w:val="22"/>
              </w:rPr>
              <w:t>680.000</w:t>
            </w:r>
          </w:p>
        </w:tc>
        <w:tc>
          <w:tcPr>
            <w:tcW w:w="2693" w:type="dxa"/>
            <w:vAlign w:val="center"/>
          </w:tcPr>
          <w:p w:rsidR="00E43B08" w:rsidRDefault="00E43B08" w:rsidP="00E43B08">
            <w:pPr>
              <w:jc w:val="both"/>
              <w:rPr>
                <w:sz w:val="22"/>
                <w:szCs w:val="22"/>
              </w:rPr>
            </w:pPr>
            <w:r>
              <w:rPr>
                <w:sz w:val="22"/>
                <w:szCs w:val="22"/>
              </w:rPr>
              <w:t>Theo thông tin, dữ liệu tài nguyên phát sinh do Sở NN&amp;MT cung cấp, dữ liệu kê khai thuế và thông tin từ Quyết định 30/2025/QĐ-UBND về bảng giá thuế tài nguyên địa bàn tỉnh Bình Phước (cũ)</w:t>
            </w: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B16B29" w:rsidRDefault="00E43B08" w:rsidP="00E43B08">
            <w:pPr>
              <w:tabs>
                <w:tab w:val="left" w:pos="1701"/>
              </w:tabs>
              <w:spacing w:before="40" w:after="40"/>
              <w:jc w:val="center"/>
              <w:rPr>
                <w:b/>
                <w:sz w:val="22"/>
                <w:szCs w:val="22"/>
              </w:rPr>
            </w:pPr>
            <w:r>
              <w:rPr>
                <w:b/>
                <w:sz w:val="22"/>
                <w:szCs w:val="22"/>
              </w:rPr>
              <w:t>II19</w:t>
            </w:r>
          </w:p>
        </w:tc>
        <w:tc>
          <w:tcPr>
            <w:tcW w:w="904" w:type="dxa"/>
            <w:vAlign w:val="center"/>
          </w:tcPr>
          <w:p w:rsidR="00E43B08" w:rsidRDefault="00E43B08" w:rsidP="00E43B08">
            <w:pPr>
              <w:jc w:val="center"/>
              <w:rPr>
                <w:sz w:val="22"/>
                <w:szCs w:val="22"/>
              </w:rPr>
            </w:pP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A74A03" w:rsidRDefault="00E43B08" w:rsidP="00E43B08">
            <w:pPr>
              <w:jc w:val="both"/>
              <w:rPr>
                <w:b/>
                <w:sz w:val="22"/>
                <w:szCs w:val="22"/>
              </w:rPr>
            </w:pPr>
            <w:r w:rsidRPr="00A74A03">
              <w:rPr>
                <w:b/>
                <w:sz w:val="22"/>
                <w:szCs w:val="22"/>
              </w:rPr>
              <w:t>Than khác</w:t>
            </w:r>
          </w:p>
        </w:tc>
        <w:tc>
          <w:tcPr>
            <w:tcW w:w="850" w:type="dxa"/>
            <w:vAlign w:val="center"/>
          </w:tcPr>
          <w:p w:rsidR="00E43B08" w:rsidRDefault="00E43B08" w:rsidP="00E43B08">
            <w:pPr>
              <w:jc w:val="center"/>
              <w:rPr>
                <w:sz w:val="22"/>
                <w:szCs w:val="22"/>
              </w:rPr>
            </w:pPr>
          </w:p>
        </w:tc>
        <w:tc>
          <w:tcPr>
            <w:tcW w:w="1559" w:type="dxa"/>
            <w:vAlign w:val="center"/>
          </w:tcPr>
          <w:p w:rsidR="00E43B08" w:rsidRDefault="00E43B08" w:rsidP="00E43B08">
            <w:pPr>
              <w:jc w:val="right"/>
              <w:rPr>
                <w:sz w:val="22"/>
                <w:szCs w:val="22"/>
              </w:rPr>
            </w:pPr>
          </w:p>
        </w:tc>
        <w:tc>
          <w:tcPr>
            <w:tcW w:w="1985" w:type="dxa"/>
            <w:vAlign w:val="center"/>
          </w:tcPr>
          <w:p w:rsidR="00E43B08" w:rsidRDefault="00E43B08" w:rsidP="00E43B08">
            <w:pPr>
              <w:jc w:val="right"/>
              <w:rPr>
                <w:sz w:val="22"/>
                <w:szCs w:val="22"/>
              </w:rPr>
            </w:pPr>
          </w:p>
        </w:tc>
        <w:tc>
          <w:tcPr>
            <w:tcW w:w="2693" w:type="dxa"/>
            <w:vAlign w:val="center"/>
          </w:tcPr>
          <w:p w:rsidR="00E43B08"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B16B29" w:rsidRDefault="00E43B08" w:rsidP="00E43B08">
            <w:pPr>
              <w:tabs>
                <w:tab w:val="left" w:pos="1701"/>
              </w:tabs>
              <w:spacing w:before="40" w:after="40"/>
              <w:jc w:val="center"/>
              <w:rPr>
                <w:b/>
                <w:sz w:val="22"/>
                <w:szCs w:val="22"/>
              </w:rPr>
            </w:pPr>
          </w:p>
        </w:tc>
        <w:tc>
          <w:tcPr>
            <w:tcW w:w="904" w:type="dxa"/>
            <w:vAlign w:val="center"/>
          </w:tcPr>
          <w:p w:rsidR="00E43B08" w:rsidRDefault="00E43B08" w:rsidP="00E43B08">
            <w:pPr>
              <w:jc w:val="center"/>
              <w:rPr>
                <w:sz w:val="22"/>
                <w:szCs w:val="22"/>
              </w:rPr>
            </w:pPr>
            <w:r>
              <w:rPr>
                <w:sz w:val="22"/>
                <w:szCs w:val="22"/>
              </w:rPr>
              <w:t>II1901</w:t>
            </w: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Default="00E43B08" w:rsidP="00E43B08">
            <w:pPr>
              <w:jc w:val="both"/>
              <w:rPr>
                <w:sz w:val="22"/>
                <w:szCs w:val="22"/>
              </w:rPr>
            </w:pPr>
            <w:r>
              <w:rPr>
                <w:sz w:val="22"/>
                <w:szCs w:val="22"/>
              </w:rPr>
              <w:t>Than bùn</w:t>
            </w:r>
          </w:p>
        </w:tc>
        <w:tc>
          <w:tcPr>
            <w:tcW w:w="850" w:type="dxa"/>
            <w:vAlign w:val="center"/>
          </w:tcPr>
          <w:p w:rsidR="00E43B08" w:rsidRDefault="00E43B08" w:rsidP="00E43B08">
            <w:pPr>
              <w:jc w:val="center"/>
              <w:rPr>
                <w:sz w:val="22"/>
                <w:szCs w:val="22"/>
              </w:rPr>
            </w:pPr>
            <w:r>
              <w:rPr>
                <w:sz w:val="22"/>
                <w:szCs w:val="22"/>
              </w:rPr>
              <w:t>tấn</w:t>
            </w:r>
          </w:p>
        </w:tc>
        <w:tc>
          <w:tcPr>
            <w:tcW w:w="1559" w:type="dxa"/>
            <w:vAlign w:val="center"/>
          </w:tcPr>
          <w:p w:rsidR="00E43B08" w:rsidRDefault="00E43B08" w:rsidP="00E43B08">
            <w:pPr>
              <w:jc w:val="right"/>
              <w:rPr>
                <w:sz w:val="22"/>
                <w:szCs w:val="22"/>
              </w:rPr>
            </w:pPr>
            <w:r>
              <w:rPr>
                <w:sz w:val="22"/>
                <w:szCs w:val="22"/>
              </w:rPr>
              <w:t>Không có</w:t>
            </w:r>
          </w:p>
        </w:tc>
        <w:tc>
          <w:tcPr>
            <w:tcW w:w="1985" w:type="dxa"/>
            <w:vAlign w:val="center"/>
          </w:tcPr>
          <w:p w:rsidR="00E43B08" w:rsidRDefault="00E43B08" w:rsidP="00E43B08">
            <w:pPr>
              <w:jc w:val="right"/>
              <w:rPr>
                <w:sz w:val="22"/>
                <w:szCs w:val="22"/>
              </w:rPr>
            </w:pPr>
            <w:r>
              <w:rPr>
                <w:sz w:val="22"/>
                <w:szCs w:val="22"/>
              </w:rPr>
              <w:t>340.000</w:t>
            </w:r>
          </w:p>
        </w:tc>
        <w:tc>
          <w:tcPr>
            <w:tcW w:w="2693" w:type="dxa"/>
            <w:vAlign w:val="center"/>
          </w:tcPr>
          <w:p w:rsidR="00E43B08" w:rsidRDefault="00E43B08" w:rsidP="00E43B08">
            <w:pPr>
              <w:jc w:val="both"/>
              <w:rPr>
                <w:sz w:val="22"/>
                <w:szCs w:val="22"/>
              </w:rPr>
            </w:pPr>
            <w:r>
              <w:rPr>
                <w:sz w:val="22"/>
                <w:szCs w:val="22"/>
              </w:rPr>
              <w:t xml:space="preserve">Theo thông tin, dữ liệu tài nguyên phát sinh do Sở NN&amp;MT cung cấp, dữ liệu </w:t>
            </w:r>
            <w:r>
              <w:rPr>
                <w:sz w:val="22"/>
                <w:szCs w:val="22"/>
              </w:rPr>
              <w:lastRenderedPageBreak/>
              <w:t>kê khai thuế và thông tin từ Quyết định 30/2025/QĐ-UBND về bảng giá thuế tài nguyên địa bàn tỉnh Bình Phước (cũ)</w:t>
            </w: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B16B29" w:rsidRDefault="00E43B08" w:rsidP="00E43B08">
            <w:pPr>
              <w:tabs>
                <w:tab w:val="left" w:pos="1701"/>
              </w:tabs>
              <w:spacing w:before="40" w:after="40"/>
              <w:jc w:val="center"/>
              <w:rPr>
                <w:b/>
                <w:sz w:val="22"/>
                <w:szCs w:val="22"/>
              </w:rPr>
            </w:pPr>
            <w:r w:rsidRPr="00B16B29">
              <w:rPr>
                <w:b/>
                <w:sz w:val="22"/>
                <w:szCs w:val="22"/>
              </w:rPr>
              <w:t>II24</w:t>
            </w:r>
          </w:p>
        </w:tc>
        <w:tc>
          <w:tcPr>
            <w:tcW w:w="904" w:type="dxa"/>
            <w:vAlign w:val="center"/>
          </w:tcPr>
          <w:p w:rsidR="00E43B08" w:rsidRPr="002556F0" w:rsidRDefault="00E43B08" w:rsidP="00E43B08">
            <w:pPr>
              <w:jc w:val="center"/>
              <w:rPr>
                <w:sz w:val="22"/>
                <w:szCs w:val="22"/>
              </w:rPr>
            </w:pP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B16B29" w:rsidRDefault="00E43B08" w:rsidP="00E43B08">
            <w:pPr>
              <w:jc w:val="both"/>
              <w:rPr>
                <w:b/>
                <w:sz w:val="22"/>
                <w:szCs w:val="22"/>
              </w:rPr>
            </w:pPr>
            <w:r w:rsidRPr="00B16B29">
              <w:rPr>
                <w:b/>
                <w:sz w:val="22"/>
                <w:szCs w:val="22"/>
              </w:rPr>
              <w:t>Khoáng sản không kim loại khác</w:t>
            </w:r>
          </w:p>
        </w:tc>
        <w:tc>
          <w:tcPr>
            <w:tcW w:w="850" w:type="dxa"/>
            <w:vAlign w:val="center"/>
          </w:tcPr>
          <w:p w:rsidR="00E43B08" w:rsidRPr="002556F0" w:rsidRDefault="00E43B08" w:rsidP="00E43B08">
            <w:pPr>
              <w:jc w:val="center"/>
              <w:rPr>
                <w:sz w:val="22"/>
                <w:szCs w:val="22"/>
              </w:rPr>
            </w:pPr>
          </w:p>
        </w:tc>
        <w:tc>
          <w:tcPr>
            <w:tcW w:w="1559" w:type="dxa"/>
            <w:vAlign w:val="center"/>
          </w:tcPr>
          <w:p w:rsidR="00E43B08" w:rsidRPr="002556F0" w:rsidRDefault="00E43B08" w:rsidP="00E43B08">
            <w:pPr>
              <w:jc w:val="right"/>
              <w:rPr>
                <w:sz w:val="22"/>
                <w:szCs w:val="22"/>
              </w:rPr>
            </w:pPr>
          </w:p>
        </w:tc>
        <w:tc>
          <w:tcPr>
            <w:tcW w:w="1985" w:type="dxa"/>
            <w:vAlign w:val="center"/>
          </w:tcPr>
          <w:p w:rsidR="00E43B08" w:rsidRPr="002556F0" w:rsidRDefault="00E43B08" w:rsidP="00E43B08">
            <w:pPr>
              <w:jc w:val="right"/>
              <w:rPr>
                <w:sz w:val="22"/>
                <w:szCs w:val="22"/>
              </w:rPr>
            </w:pPr>
          </w:p>
        </w:tc>
        <w:tc>
          <w:tcPr>
            <w:tcW w:w="2693" w:type="dxa"/>
            <w:vAlign w:val="center"/>
          </w:tcPr>
          <w:p w:rsidR="00E43B08" w:rsidRPr="002556F0" w:rsidRDefault="00E43B08" w:rsidP="00E43B08">
            <w:pPr>
              <w:jc w:val="right"/>
              <w:rPr>
                <w:sz w:val="22"/>
                <w:szCs w:val="22"/>
              </w:rPr>
            </w:pPr>
          </w:p>
        </w:tc>
      </w:tr>
      <w:tr w:rsidR="00E43B08" w:rsidRPr="002556F0" w:rsidTr="00920940">
        <w:tc>
          <w:tcPr>
            <w:tcW w:w="610" w:type="dxa"/>
            <w:vAlign w:val="center"/>
          </w:tcPr>
          <w:p w:rsidR="00E43B08" w:rsidRPr="002556F0" w:rsidRDefault="00E43B08" w:rsidP="00E43B08">
            <w:pPr>
              <w:tabs>
                <w:tab w:val="left" w:pos="1701"/>
              </w:tabs>
              <w:spacing w:before="40" w:after="40"/>
              <w:jc w:val="center"/>
              <w:rPr>
                <w:sz w:val="22"/>
                <w:szCs w:val="22"/>
              </w:rPr>
            </w:pPr>
          </w:p>
        </w:tc>
        <w:tc>
          <w:tcPr>
            <w:tcW w:w="608" w:type="dxa"/>
            <w:vAlign w:val="center"/>
          </w:tcPr>
          <w:p w:rsidR="00E43B08" w:rsidRPr="002556F0" w:rsidRDefault="00E43B08" w:rsidP="00E43B08">
            <w:pPr>
              <w:tabs>
                <w:tab w:val="left" w:pos="1701"/>
              </w:tabs>
              <w:spacing w:before="40" w:after="40"/>
              <w:jc w:val="center"/>
              <w:rPr>
                <w:sz w:val="22"/>
                <w:szCs w:val="22"/>
              </w:rPr>
            </w:pPr>
          </w:p>
        </w:tc>
        <w:tc>
          <w:tcPr>
            <w:tcW w:w="904" w:type="dxa"/>
            <w:vAlign w:val="center"/>
          </w:tcPr>
          <w:p w:rsidR="00E43B08" w:rsidRPr="00B16B29" w:rsidRDefault="00E43B08" w:rsidP="00E43B08">
            <w:pPr>
              <w:jc w:val="center"/>
              <w:rPr>
                <w:sz w:val="20"/>
                <w:szCs w:val="20"/>
              </w:rPr>
            </w:pPr>
            <w:r w:rsidRPr="00B16B29">
              <w:rPr>
                <w:sz w:val="20"/>
                <w:szCs w:val="20"/>
              </w:rPr>
              <w:t>II2412</w:t>
            </w:r>
          </w:p>
        </w:tc>
        <w:tc>
          <w:tcPr>
            <w:tcW w:w="913" w:type="dxa"/>
            <w:vAlign w:val="center"/>
          </w:tcPr>
          <w:p w:rsidR="00E43B08" w:rsidRPr="002556F0" w:rsidRDefault="00E43B08" w:rsidP="00E43B08">
            <w:pPr>
              <w:jc w:val="center"/>
              <w:rPr>
                <w:sz w:val="22"/>
                <w:szCs w:val="22"/>
              </w:rPr>
            </w:pPr>
          </w:p>
        </w:tc>
        <w:tc>
          <w:tcPr>
            <w:tcW w:w="1133" w:type="dxa"/>
            <w:vAlign w:val="center"/>
          </w:tcPr>
          <w:p w:rsidR="00E43B08" w:rsidRPr="002556F0" w:rsidRDefault="00E43B08" w:rsidP="00E43B08">
            <w:pPr>
              <w:jc w:val="center"/>
              <w:rPr>
                <w:sz w:val="22"/>
                <w:szCs w:val="22"/>
              </w:rPr>
            </w:pPr>
          </w:p>
        </w:tc>
        <w:tc>
          <w:tcPr>
            <w:tcW w:w="647" w:type="dxa"/>
            <w:vAlign w:val="center"/>
          </w:tcPr>
          <w:p w:rsidR="00E43B08" w:rsidRPr="002556F0" w:rsidRDefault="00E43B08" w:rsidP="00E43B08">
            <w:pPr>
              <w:jc w:val="center"/>
              <w:rPr>
                <w:sz w:val="22"/>
                <w:szCs w:val="22"/>
              </w:rPr>
            </w:pPr>
          </w:p>
        </w:tc>
        <w:tc>
          <w:tcPr>
            <w:tcW w:w="2410" w:type="dxa"/>
            <w:vAlign w:val="center"/>
          </w:tcPr>
          <w:p w:rsidR="00E43B08" w:rsidRPr="002556F0" w:rsidRDefault="00E43B08" w:rsidP="00E43B08">
            <w:pPr>
              <w:jc w:val="both"/>
              <w:rPr>
                <w:sz w:val="22"/>
                <w:szCs w:val="22"/>
              </w:rPr>
            </w:pPr>
            <w:r w:rsidRPr="00B16B29">
              <w:rPr>
                <w:sz w:val="22"/>
                <w:szCs w:val="22"/>
              </w:rPr>
              <w:t>Đá phong hóa</w:t>
            </w:r>
          </w:p>
        </w:tc>
        <w:tc>
          <w:tcPr>
            <w:tcW w:w="850" w:type="dxa"/>
            <w:vAlign w:val="center"/>
          </w:tcPr>
          <w:p w:rsidR="00E43B08" w:rsidRPr="002556F0" w:rsidRDefault="00E43B08" w:rsidP="00E43B08">
            <w:pPr>
              <w:jc w:val="center"/>
              <w:rPr>
                <w:sz w:val="22"/>
                <w:szCs w:val="22"/>
              </w:rPr>
            </w:pPr>
            <w:r>
              <w:rPr>
                <w:sz w:val="22"/>
                <w:szCs w:val="22"/>
              </w:rPr>
              <w:t>m</w:t>
            </w:r>
            <w:r>
              <w:rPr>
                <w:sz w:val="22"/>
                <w:szCs w:val="22"/>
                <w:vertAlign w:val="superscript"/>
              </w:rPr>
              <w:t>3</w:t>
            </w:r>
          </w:p>
        </w:tc>
        <w:tc>
          <w:tcPr>
            <w:tcW w:w="1559" w:type="dxa"/>
            <w:vAlign w:val="center"/>
          </w:tcPr>
          <w:p w:rsidR="00E43B08" w:rsidRDefault="00E43B08" w:rsidP="00E43B08">
            <w:pPr>
              <w:jc w:val="right"/>
              <w:rPr>
                <w:sz w:val="22"/>
                <w:szCs w:val="22"/>
              </w:rPr>
            </w:pPr>
            <w:r>
              <w:rPr>
                <w:sz w:val="22"/>
                <w:szCs w:val="22"/>
              </w:rPr>
              <w:t>60.000</w:t>
            </w:r>
          </w:p>
        </w:tc>
        <w:tc>
          <w:tcPr>
            <w:tcW w:w="1985" w:type="dxa"/>
            <w:vAlign w:val="center"/>
          </w:tcPr>
          <w:p w:rsidR="00E43B08" w:rsidRPr="002556F0" w:rsidRDefault="00E43B08" w:rsidP="00E43B08">
            <w:pPr>
              <w:jc w:val="right"/>
              <w:rPr>
                <w:sz w:val="22"/>
                <w:szCs w:val="22"/>
              </w:rPr>
            </w:pPr>
            <w:r>
              <w:rPr>
                <w:sz w:val="22"/>
                <w:szCs w:val="22"/>
              </w:rPr>
              <w:t>60.000</w:t>
            </w:r>
          </w:p>
        </w:tc>
        <w:tc>
          <w:tcPr>
            <w:tcW w:w="2693" w:type="dxa"/>
            <w:vAlign w:val="center"/>
          </w:tcPr>
          <w:p w:rsidR="00E43B08" w:rsidRDefault="00E43B08" w:rsidP="00E43B08">
            <w:pPr>
              <w:jc w:val="right"/>
              <w:rPr>
                <w:sz w:val="22"/>
                <w:szCs w:val="22"/>
              </w:rPr>
            </w:pPr>
          </w:p>
        </w:tc>
      </w:tr>
    </w:tbl>
    <w:p w:rsidR="002B1C3C" w:rsidRPr="000E32B8" w:rsidRDefault="002B1C3C" w:rsidP="002B1C3C">
      <w:pPr>
        <w:spacing w:before="240" w:after="240"/>
        <w:ind w:firstLine="567"/>
        <w:jc w:val="both"/>
        <w:rPr>
          <w:b/>
          <w:iCs/>
        </w:rPr>
      </w:pPr>
      <w:r w:rsidRPr="009C61AE">
        <w:rPr>
          <w:b/>
          <w:iCs/>
        </w:rPr>
        <w:t>I</w:t>
      </w:r>
      <w:r>
        <w:rPr>
          <w:b/>
          <w:iCs/>
        </w:rPr>
        <w:t>I</w:t>
      </w:r>
      <w:r w:rsidRPr="009C61AE">
        <w:rPr>
          <w:b/>
          <w:iCs/>
        </w:rPr>
        <w:t xml:space="preserve">. </w:t>
      </w:r>
      <w:r>
        <w:rPr>
          <w:b/>
          <w:iCs/>
        </w:rPr>
        <w:t>NƯỚC THIÊN NHIÊN</w:t>
      </w:r>
    </w:p>
    <w:tbl>
      <w:tblPr>
        <w:tblStyle w:val="TableGrid"/>
        <w:tblW w:w="14312" w:type="dxa"/>
        <w:tblLayout w:type="fixed"/>
        <w:tblLook w:val="04A0" w:firstRow="1" w:lastRow="0" w:firstColumn="1" w:lastColumn="0" w:noHBand="0" w:noVBand="1"/>
      </w:tblPr>
      <w:tblGrid>
        <w:gridCol w:w="610"/>
        <w:gridCol w:w="608"/>
        <w:gridCol w:w="904"/>
        <w:gridCol w:w="992"/>
        <w:gridCol w:w="980"/>
        <w:gridCol w:w="721"/>
        <w:gridCol w:w="2410"/>
        <w:gridCol w:w="850"/>
        <w:gridCol w:w="1559"/>
        <w:gridCol w:w="1985"/>
        <w:gridCol w:w="2693"/>
      </w:tblGrid>
      <w:tr w:rsidR="00E43B08" w:rsidRPr="002556F0" w:rsidTr="00E43B08">
        <w:trPr>
          <w:tblHeader/>
        </w:trPr>
        <w:tc>
          <w:tcPr>
            <w:tcW w:w="4815" w:type="dxa"/>
            <w:gridSpan w:val="6"/>
            <w:vAlign w:val="center"/>
          </w:tcPr>
          <w:p w:rsidR="00E43B08" w:rsidRPr="002556F0" w:rsidRDefault="00E43B08" w:rsidP="006C74D8">
            <w:pPr>
              <w:tabs>
                <w:tab w:val="left" w:pos="1701"/>
              </w:tabs>
              <w:spacing w:before="40" w:after="40"/>
              <w:jc w:val="center"/>
              <w:rPr>
                <w:b/>
                <w:sz w:val="22"/>
                <w:szCs w:val="22"/>
              </w:rPr>
            </w:pPr>
            <w:r w:rsidRPr="002556F0">
              <w:rPr>
                <w:b/>
                <w:sz w:val="22"/>
                <w:szCs w:val="22"/>
              </w:rPr>
              <w:t>Mã, nhóm loại tài nguyên</w:t>
            </w:r>
          </w:p>
        </w:tc>
        <w:tc>
          <w:tcPr>
            <w:tcW w:w="2410" w:type="dxa"/>
            <w:vMerge w:val="restart"/>
            <w:vAlign w:val="center"/>
          </w:tcPr>
          <w:p w:rsidR="00E43B08" w:rsidRPr="002556F0" w:rsidRDefault="00E43B08" w:rsidP="006C74D8">
            <w:pPr>
              <w:tabs>
                <w:tab w:val="left" w:pos="1701"/>
              </w:tabs>
              <w:spacing w:before="40" w:after="40"/>
              <w:jc w:val="center"/>
              <w:rPr>
                <w:b/>
                <w:sz w:val="22"/>
                <w:szCs w:val="22"/>
              </w:rPr>
            </w:pPr>
            <w:r w:rsidRPr="002556F0">
              <w:rPr>
                <w:b/>
                <w:sz w:val="22"/>
                <w:szCs w:val="22"/>
              </w:rPr>
              <w:t>Tên nhóm, loại tài nguyên/Sản phẩm tài nguyên</w:t>
            </w:r>
          </w:p>
        </w:tc>
        <w:tc>
          <w:tcPr>
            <w:tcW w:w="850" w:type="dxa"/>
            <w:vMerge w:val="restart"/>
            <w:vAlign w:val="center"/>
          </w:tcPr>
          <w:p w:rsidR="00E43B08" w:rsidRPr="002556F0" w:rsidRDefault="00E43B08" w:rsidP="006C74D8">
            <w:pPr>
              <w:tabs>
                <w:tab w:val="left" w:pos="1701"/>
              </w:tabs>
              <w:spacing w:before="40" w:after="40"/>
              <w:jc w:val="center"/>
              <w:rPr>
                <w:b/>
                <w:sz w:val="22"/>
                <w:szCs w:val="22"/>
              </w:rPr>
            </w:pPr>
            <w:r w:rsidRPr="002556F0">
              <w:rPr>
                <w:b/>
                <w:sz w:val="22"/>
                <w:szCs w:val="22"/>
              </w:rPr>
              <w:t>Đơn vị tính</w:t>
            </w:r>
          </w:p>
        </w:tc>
        <w:tc>
          <w:tcPr>
            <w:tcW w:w="1559" w:type="dxa"/>
            <w:vMerge w:val="restart"/>
            <w:vAlign w:val="center"/>
          </w:tcPr>
          <w:p w:rsidR="00E43B08" w:rsidRPr="002556F0" w:rsidRDefault="00E43B08" w:rsidP="006C74D8">
            <w:pPr>
              <w:tabs>
                <w:tab w:val="left" w:pos="1701"/>
              </w:tabs>
              <w:spacing w:before="40" w:after="40"/>
              <w:jc w:val="center"/>
              <w:rPr>
                <w:b/>
                <w:sz w:val="22"/>
                <w:szCs w:val="22"/>
              </w:rPr>
            </w:pPr>
            <w:r>
              <w:rPr>
                <w:b/>
                <w:sz w:val="22"/>
                <w:szCs w:val="22"/>
              </w:rPr>
              <w:t xml:space="preserve">Đơn giá tại </w:t>
            </w:r>
            <w:r w:rsidRPr="002B1C3C">
              <w:rPr>
                <w:b/>
                <w:sz w:val="22"/>
                <w:szCs w:val="22"/>
              </w:rPr>
              <w:t>Quyết định số 25/2025/QĐ-UBND</w:t>
            </w:r>
          </w:p>
        </w:tc>
        <w:tc>
          <w:tcPr>
            <w:tcW w:w="1985" w:type="dxa"/>
            <w:vMerge w:val="restart"/>
            <w:vAlign w:val="center"/>
          </w:tcPr>
          <w:p w:rsidR="00E43B08" w:rsidRPr="002556F0" w:rsidRDefault="00E43B08" w:rsidP="006C74D8">
            <w:pPr>
              <w:tabs>
                <w:tab w:val="left" w:pos="1701"/>
              </w:tabs>
              <w:spacing w:before="40" w:after="40"/>
              <w:jc w:val="center"/>
              <w:rPr>
                <w:b/>
                <w:sz w:val="22"/>
                <w:szCs w:val="22"/>
              </w:rPr>
            </w:pPr>
            <w:r w:rsidRPr="002556F0">
              <w:rPr>
                <w:b/>
                <w:sz w:val="22"/>
                <w:szCs w:val="22"/>
              </w:rPr>
              <w:t xml:space="preserve">Đơn giá </w:t>
            </w:r>
            <w:r>
              <w:rPr>
                <w:b/>
                <w:sz w:val="22"/>
                <w:szCs w:val="22"/>
              </w:rPr>
              <w:t>tại dự thảo Quyết định</w:t>
            </w:r>
          </w:p>
        </w:tc>
        <w:tc>
          <w:tcPr>
            <w:tcW w:w="2693" w:type="dxa"/>
            <w:vMerge w:val="restart"/>
            <w:vAlign w:val="center"/>
          </w:tcPr>
          <w:p w:rsidR="00E43B08" w:rsidRPr="002556F0" w:rsidRDefault="00E43B08" w:rsidP="006C74D8">
            <w:pPr>
              <w:tabs>
                <w:tab w:val="left" w:pos="1701"/>
              </w:tabs>
              <w:spacing w:before="40" w:after="40"/>
              <w:jc w:val="center"/>
              <w:rPr>
                <w:b/>
                <w:sz w:val="22"/>
                <w:szCs w:val="22"/>
              </w:rPr>
            </w:pPr>
            <w:r>
              <w:rPr>
                <w:b/>
                <w:sz w:val="22"/>
                <w:szCs w:val="22"/>
              </w:rPr>
              <w:t>Ghi chú</w:t>
            </w:r>
          </w:p>
        </w:tc>
      </w:tr>
      <w:tr w:rsidR="00E43B08" w:rsidRPr="002556F0" w:rsidTr="00E43B08">
        <w:trPr>
          <w:tblHeader/>
        </w:trPr>
        <w:tc>
          <w:tcPr>
            <w:tcW w:w="610" w:type="dxa"/>
            <w:vAlign w:val="center"/>
          </w:tcPr>
          <w:p w:rsidR="00E43B08" w:rsidRPr="002556F0" w:rsidRDefault="00E43B08" w:rsidP="006C74D8">
            <w:pPr>
              <w:tabs>
                <w:tab w:val="left" w:pos="1701"/>
              </w:tabs>
              <w:spacing w:before="40" w:after="40"/>
              <w:jc w:val="center"/>
              <w:rPr>
                <w:b/>
                <w:sz w:val="22"/>
                <w:szCs w:val="22"/>
              </w:rPr>
            </w:pPr>
            <w:r w:rsidRPr="002556F0">
              <w:rPr>
                <w:b/>
                <w:sz w:val="22"/>
                <w:szCs w:val="22"/>
              </w:rPr>
              <w:t>Cấp 1</w:t>
            </w:r>
          </w:p>
        </w:tc>
        <w:tc>
          <w:tcPr>
            <w:tcW w:w="608" w:type="dxa"/>
            <w:vAlign w:val="center"/>
          </w:tcPr>
          <w:p w:rsidR="00E43B08" w:rsidRPr="002556F0" w:rsidRDefault="00E43B08" w:rsidP="006C74D8">
            <w:pPr>
              <w:tabs>
                <w:tab w:val="left" w:pos="1701"/>
              </w:tabs>
              <w:spacing w:before="40" w:after="40"/>
              <w:jc w:val="center"/>
              <w:rPr>
                <w:b/>
                <w:sz w:val="22"/>
                <w:szCs w:val="22"/>
              </w:rPr>
            </w:pPr>
            <w:r w:rsidRPr="002556F0">
              <w:rPr>
                <w:b/>
                <w:sz w:val="22"/>
                <w:szCs w:val="22"/>
              </w:rPr>
              <w:t>Cấp 2</w:t>
            </w:r>
          </w:p>
        </w:tc>
        <w:tc>
          <w:tcPr>
            <w:tcW w:w="904" w:type="dxa"/>
            <w:vAlign w:val="center"/>
          </w:tcPr>
          <w:p w:rsidR="00E43B08" w:rsidRPr="002556F0" w:rsidRDefault="00E43B08" w:rsidP="006C74D8">
            <w:pPr>
              <w:jc w:val="center"/>
              <w:rPr>
                <w:b/>
                <w:sz w:val="22"/>
                <w:szCs w:val="22"/>
              </w:rPr>
            </w:pPr>
            <w:r w:rsidRPr="002556F0">
              <w:rPr>
                <w:b/>
                <w:sz w:val="22"/>
                <w:szCs w:val="22"/>
              </w:rPr>
              <w:t>Cấp 3</w:t>
            </w:r>
          </w:p>
        </w:tc>
        <w:tc>
          <w:tcPr>
            <w:tcW w:w="992" w:type="dxa"/>
            <w:vAlign w:val="center"/>
          </w:tcPr>
          <w:p w:rsidR="00E43B08" w:rsidRPr="002556F0" w:rsidRDefault="00E43B08" w:rsidP="006C74D8">
            <w:pPr>
              <w:jc w:val="center"/>
              <w:rPr>
                <w:b/>
                <w:sz w:val="22"/>
                <w:szCs w:val="22"/>
              </w:rPr>
            </w:pPr>
            <w:r w:rsidRPr="002556F0">
              <w:rPr>
                <w:b/>
                <w:sz w:val="22"/>
                <w:szCs w:val="22"/>
              </w:rPr>
              <w:t>Cấp 4</w:t>
            </w:r>
          </w:p>
        </w:tc>
        <w:tc>
          <w:tcPr>
            <w:tcW w:w="980" w:type="dxa"/>
            <w:vAlign w:val="center"/>
          </w:tcPr>
          <w:p w:rsidR="00E43B08" w:rsidRPr="002556F0" w:rsidRDefault="00E43B08" w:rsidP="006C74D8">
            <w:pPr>
              <w:jc w:val="center"/>
              <w:rPr>
                <w:b/>
                <w:sz w:val="22"/>
                <w:szCs w:val="22"/>
              </w:rPr>
            </w:pPr>
            <w:r w:rsidRPr="002556F0">
              <w:rPr>
                <w:b/>
                <w:sz w:val="22"/>
                <w:szCs w:val="22"/>
              </w:rPr>
              <w:t>Cấp 5</w:t>
            </w:r>
          </w:p>
        </w:tc>
        <w:tc>
          <w:tcPr>
            <w:tcW w:w="721" w:type="dxa"/>
            <w:vAlign w:val="center"/>
          </w:tcPr>
          <w:p w:rsidR="00E43B08" w:rsidRPr="002556F0" w:rsidRDefault="00E43B08" w:rsidP="006C74D8">
            <w:pPr>
              <w:jc w:val="center"/>
              <w:rPr>
                <w:b/>
                <w:sz w:val="22"/>
                <w:szCs w:val="22"/>
              </w:rPr>
            </w:pPr>
            <w:r w:rsidRPr="002556F0">
              <w:rPr>
                <w:b/>
                <w:sz w:val="22"/>
                <w:szCs w:val="22"/>
              </w:rPr>
              <w:t>Cấp 6</w:t>
            </w:r>
          </w:p>
        </w:tc>
        <w:tc>
          <w:tcPr>
            <w:tcW w:w="2410" w:type="dxa"/>
            <w:vMerge/>
            <w:vAlign w:val="center"/>
          </w:tcPr>
          <w:p w:rsidR="00E43B08" w:rsidRPr="002556F0" w:rsidRDefault="00E43B08" w:rsidP="006C74D8">
            <w:pPr>
              <w:jc w:val="right"/>
              <w:rPr>
                <w:sz w:val="22"/>
                <w:szCs w:val="22"/>
              </w:rPr>
            </w:pPr>
          </w:p>
        </w:tc>
        <w:tc>
          <w:tcPr>
            <w:tcW w:w="850" w:type="dxa"/>
            <w:vMerge/>
            <w:vAlign w:val="center"/>
          </w:tcPr>
          <w:p w:rsidR="00E43B08" w:rsidRPr="002556F0" w:rsidRDefault="00E43B08" w:rsidP="006C74D8">
            <w:pPr>
              <w:jc w:val="right"/>
              <w:rPr>
                <w:sz w:val="22"/>
                <w:szCs w:val="22"/>
              </w:rPr>
            </w:pPr>
          </w:p>
        </w:tc>
        <w:tc>
          <w:tcPr>
            <w:tcW w:w="1559" w:type="dxa"/>
            <w:vMerge/>
            <w:vAlign w:val="center"/>
          </w:tcPr>
          <w:p w:rsidR="00E43B08" w:rsidRPr="002556F0" w:rsidRDefault="00E43B08" w:rsidP="006C74D8">
            <w:pPr>
              <w:jc w:val="right"/>
              <w:rPr>
                <w:sz w:val="22"/>
                <w:szCs w:val="22"/>
              </w:rPr>
            </w:pPr>
          </w:p>
        </w:tc>
        <w:tc>
          <w:tcPr>
            <w:tcW w:w="1985" w:type="dxa"/>
            <w:vMerge/>
            <w:vAlign w:val="center"/>
          </w:tcPr>
          <w:p w:rsidR="00E43B08" w:rsidRPr="002556F0" w:rsidRDefault="00E43B08" w:rsidP="006C74D8">
            <w:pPr>
              <w:jc w:val="right"/>
              <w:rPr>
                <w:sz w:val="22"/>
                <w:szCs w:val="22"/>
              </w:rPr>
            </w:pPr>
          </w:p>
        </w:tc>
        <w:tc>
          <w:tcPr>
            <w:tcW w:w="2693" w:type="dxa"/>
            <w:vMerge/>
            <w:vAlign w:val="center"/>
          </w:tcPr>
          <w:p w:rsidR="00E43B08" w:rsidRPr="002556F0" w:rsidRDefault="00E43B08" w:rsidP="006C74D8">
            <w:pPr>
              <w:jc w:val="right"/>
              <w:rPr>
                <w:sz w:val="22"/>
                <w:szCs w:val="22"/>
              </w:rPr>
            </w:pPr>
          </w:p>
        </w:tc>
      </w:tr>
      <w:tr w:rsidR="00E43B08" w:rsidRPr="002556F0" w:rsidTr="00E43B08">
        <w:tc>
          <w:tcPr>
            <w:tcW w:w="610" w:type="dxa"/>
            <w:vAlign w:val="center"/>
          </w:tcPr>
          <w:p w:rsidR="00E43B08" w:rsidRPr="002556F0" w:rsidRDefault="00E43B08" w:rsidP="006C74D8">
            <w:pPr>
              <w:tabs>
                <w:tab w:val="left" w:pos="1701"/>
              </w:tabs>
              <w:spacing w:before="40" w:after="40"/>
              <w:jc w:val="center"/>
              <w:rPr>
                <w:sz w:val="22"/>
                <w:szCs w:val="22"/>
              </w:rPr>
            </w:pPr>
          </w:p>
        </w:tc>
        <w:tc>
          <w:tcPr>
            <w:tcW w:w="608" w:type="dxa"/>
            <w:vAlign w:val="center"/>
          </w:tcPr>
          <w:p w:rsidR="00E43B08" w:rsidRPr="00F06509" w:rsidRDefault="00E43B08" w:rsidP="006C74D8">
            <w:pPr>
              <w:tabs>
                <w:tab w:val="left" w:pos="1701"/>
              </w:tabs>
              <w:spacing w:before="40" w:after="40"/>
              <w:jc w:val="center"/>
              <w:rPr>
                <w:b/>
                <w:sz w:val="22"/>
                <w:szCs w:val="22"/>
              </w:rPr>
            </w:pPr>
            <w:r>
              <w:rPr>
                <w:b/>
                <w:sz w:val="22"/>
                <w:szCs w:val="22"/>
              </w:rPr>
              <w:t>V</w:t>
            </w:r>
            <w:r w:rsidRPr="00F06509">
              <w:rPr>
                <w:b/>
                <w:sz w:val="22"/>
                <w:szCs w:val="22"/>
              </w:rPr>
              <w:t>2</w:t>
            </w:r>
          </w:p>
        </w:tc>
        <w:tc>
          <w:tcPr>
            <w:tcW w:w="904" w:type="dxa"/>
            <w:vAlign w:val="center"/>
          </w:tcPr>
          <w:p w:rsidR="00E43B08" w:rsidRPr="002556F0" w:rsidRDefault="00E43B08" w:rsidP="006C74D8">
            <w:pPr>
              <w:jc w:val="center"/>
              <w:rPr>
                <w:sz w:val="22"/>
                <w:szCs w:val="22"/>
              </w:rPr>
            </w:pPr>
          </w:p>
        </w:tc>
        <w:tc>
          <w:tcPr>
            <w:tcW w:w="992" w:type="dxa"/>
            <w:vAlign w:val="center"/>
          </w:tcPr>
          <w:p w:rsidR="00E43B08" w:rsidRPr="002556F0" w:rsidRDefault="00E43B08" w:rsidP="006C74D8">
            <w:pPr>
              <w:jc w:val="center"/>
              <w:rPr>
                <w:sz w:val="22"/>
                <w:szCs w:val="22"/>
              </w:rPr>
            </w:pPr>
          </w:p>
        </w:tc>
        <w:tc>
          <w:tcPr>
            <w:tcW w:w="980" w:type="dxa"/>
            <w:vAlign w:val="center"/>
          </w:tcPr>
          <w:p w:rsidR="00E43B08" w:rsidRPr="002556F0" w:rsidRDefault="00E43B08" w:rsidP="006C74D8">
            <w:pPr>
              <w:jc w:val="center"/>
              <w:rPr>
                <w:sz w:val="22"/>
                <w:szCs w:val="22"/>
              </w:rPr>
            </w:pPr>
          </w:p>
        </w:tc>
        <w:tc>
          <w:tcPr>
            <w:tcW w:w="721" w:type="dxa"/>
            <w:vAlign w:val="center"/>
          </w:tcPr>
          <w:p w:rsidR="00E43B08" w:rsidRPr="002556F0" w:rsidRDefault="00E43B08" w:rsidP="006C74D8">
            <w:pPr>
              <w:jc w:val="center"/>
              <w:rPr>
                <w:sz w:val="22"/>
                <w:szCs w:val="22"/>
              </w:rPr>
            </w:pPr>
          </w:p>
        </w:tc>
        <w:tc>
          <w:tcPr>
            <w:tcW w:w="2410" w:type="dxa"/>
            <w:vAlign w:val="center"/>
          </w:tcPr>
          <w:p w:rsidR="00E43B08" w:rsidRPr="00F06509" w:rsidRDefault="00E43B08" w:rsidP="006C74D8">
            <w:pPr>
              <w:jc w:val="both"/>
              <w:rPr>
                <w:b/>
                <w:sz w:val="22"/>
                <w:szCs w:val="22"/>
              </w:rPr>
            </w:pPr>
            <w:r w:rsidRPr="00611E97">
              <w:rPr>
                <w:b/>
                <w:sz w:val="22"/>
                <w:szCs w:val="22"/>
              </w:rPr>
              <w:t>Nước thiên nhiên dùng cho sản xuất kinh doanh nước sạch</w:t>
            </w:r>
          </w:p>
        </w:tc>
        <w:tc>
          <w:tcPr>
            <w:tcW w:w="850" w:type="dxa"/>
            <w:vAlign w:val="center"/>
          </w:tcPr>
          <w:p w:rsidR="00E43B08" w:rsidRPr="002556F0" w:rsidRDefault="00E43B08" w:rsidP="006C74D8">
            <w:pPr>
              <w:jc w:val="center"/>
              <w:rPr>
                <w:sz w:val="22"/>
                <w:szCs w:val="22"/>
              </w:rPr>
            </w:pPr>
          </w:p>
        </w:tc>
        <w:tc>
          <w:tcPr>
            <w:tcW w:w="1559" w:type="dxa"/>
            <w:vAlign w:val="center"/>
          </w:tcPr>
          <w:p w:rsidR="00E43B08" w:rsidRPr="002556F0" w:rsidRDefault="00E43B08" w:rsidP="006C74D8">
            <w:pPr>
              <w:jc w:val="right"/>
              <w:rPr>
                <w:sz w:val="22"/>
                <w:szCs w:val="22"/>
              </w:rPr>
            </w:pPr>
          </w:p>
        </w:tc>
        <w:tc>
          <w:tcPr>
            <w:tcW w:w="1985" w:type="dxa"/>
            <w:vAlign w:val="center"/>
          </w:tcPr>
          <w:p w:rsidR="00E43B08" w:rsidRPr="002556F0" w:rsidRDefault="00E43B08" w:rsidP="006C74D8">
            <w:pPr>
              <w:jc w:val="right"/>
              <w:rPr>
                <w:sz w:val="22"/>
                <w:szCs w:val="22"/>
              </w:rPr>
            </w:pPr>
          </w:p>
        </w:tc>
        <w:tc>
          <w:tcPr>
            <w:tcW w:w="2693" w:type="dxa"/>
            <w:vAlign w:val="center"/>
          </w:tcPr>
          <w:p w:rsidR="00E43B08" w:rsidRPr="002556F0" w:rsidRDefault="00E43B08" w:rsidP="006C74D8">
            <w:pPr>
              <w:jc w:val="right"/>
              <w:rPr>
                <w:sz w:val="22"/>
                <w:szCs w:val="22"/>
              </w:rPr>
            </w:pPr>
          </w:p>
        </w:tc>
      </w:tr>
      <w:tr w:rsidR="00E43B08" w:rsidRPr="002556F0" w:rsidTr="00E43B08">
        <w:tc>
          <w:tcPr>
            <w:tcW w:w="610" w:type="dxa"/>
            <w:vAlign w:val="center"/>
          </w:tcPr>
          <w:p w:rsidR="00E43B08" w:rsidRPr="002556F0" w:rsidRDefault="00E43B08" w:rsidP="006C74D8">
            <w:pPr>
              <w:tabs>
                <w:tab w:val="left" w:pos="1701"/>
              </w:tabs>
              <w:spacing w:before="40" w:after="40"/>
              <w:jc w:val="center"/>
              <w:rPr>
                <w:sz w:val="22"/>
                <w:szCs w:val="22"/>
              </w:rPr>
            </w:pPr>
          </w:p>
        </w:tc>
        <w:tc>
          <w:tcPr>
            <w:tcW w:w="608" w:type="dxa"/>
            <w:vAlign w:val="center"/>
          </w:tcPr>
          <w:p w:rsidR="00E43B08" w:rsidRPr="002556F0" w:rsidRDefault="00E43B08" w:rsidP="006C74D8">
            <w:pPr>
              <w:tabs>
                <w:tab w:val="left" w:pos="1701"/>
              </w:tabs>
              <w:spacing w:before="40" w:after="40"/>
              <w:jc w:val="center"/>
              <w:rPr>
                <w:sz w:val="22"/>
                <w:szCs w:val="22"/>
              </w:rPr>
            </w:pPr>
          </w:p>
        </w:tc>
        <w:tc>
          <w:tcPr>
            <w:tcW w:w="904" w:type="dxa"/>
            <w:vAlign w:val="center"/>
          </w:tcPr>
          <w:p w:rsidR="00E43B08" w:rsidRPr="002556F0" w:rsidRDefault="00E43B08" w:rsidP="006C74D8">
            <w:pPr>
              <w:jc w:val="center"/>
              <w:rPr>
                <w:sz w:val="22"/>
                <w:szCs w:val="22"/>
              </w:rPr>
            </w:pPr>
            <w:r w:rsidRPr="00611E97">
              <w:rPr>
                <w:sz w:val="22"/>
                <w:szCs w:val="22"/>
              </w:rPr>
              <w:t>V2</w:t>
            </w:r>
            <w:r>
              <w:rPr>
                <w:sz w:val="22"/>
                <w:szCs w:val="22"/>
              </w:rPr>
              <w:t xml:space="preserve"> </w:t>
            </w:r>
            <w:r w:rsidRPr="00611E97">
              <w:rPr>
                <w:sz w:val="22"/>
                <w:szCs w:val="22"/>
              </w:rPr>
              <w:t>01</w:t>
            </w:r>
          </w:p>
        </w:tc>
        <w:tc>
          <w:tcPr>
            <w:tcW w:w="992" w:type="dxa"/>
            <w:vAlign w:val="center"/>
          </w:tcPr>
          <w:p w:rsidR="00E43B08" w:rsidRPr="002556F0" w:rsidRDefault="00E43B08" w:rsidP="006C74D8">
            <w:pPr>
              <w:jc w:val="center"/>
              <w:rPr>
                <w:sz w:val="22"/>
                <w:szCs w:val="22"/>
              </w:rPr>
            </w:pPr>
          </w:p>
        </w:tc>
        <w:tc>
          <w:tcPr>
            <w:tcW w:w="980" w:type="dxa"/>
            <w:vAlign w:val="center"/>
          </w:tcPr>
          <w:p w:rsidR="00E43B08" w:rsidRPr="002556F0" w:rsidRDefault="00E43B08" w:rsidP="006C74D8">
            <w:pPr>
              <w:jc w:val="center"/>
              <w:rPr>
                <w:sz w:val="22"/>
                <w:szCs w:val="22"/>
              </w:rPr>
            </w:pPr>
          </w:p>
        </w:tc>
        <w:tc>
          <w:tcPr>
            <w:tcW w:w="721" w:type="dxa"/>
            <w:vAlign w:val="center"/>
          </w:tcPr>
          <w:p w:rsidR="00E43B08" w:rsidRPr="002556F0" w:rsidRDefault="00E43B08" w:rsidP="006C74D8">
            <w:pPr>
              <w:jc w:val="center"/>
              <w:rPr>
                <w:sz w:val="22"/>
                <w:szCs w:val="22"/>
              </w:rPr>
            </w:pPr>
          </w:p>
        </w:tc>
        <w:tc>
          <w:tcPr>
            <w:tcW w:w="2410" w:type="dxa"/>
            <w:vAlign w:val="center"/>
          </w:tcPr>
          <w:p w:rsidR="00E43B08" w:rsidRPr="002556F0" w:rsidRDefault="00E43B08" w:rsidP="006C74D8">
            <w:pPr>
              <w:jc w:val="both"/>
              <w:rPr>
                <w:sz w:val="22"/>
                <w:szCs w:val="22"/>
              </w:rPr>
            </w:pPr>
            <w:r w:rsidRPr="00611E97">
              <w:rPr>
                <w:sz w:val="22"/>
                <w:szCs w:val="22"/>
              </w:rPr>
              <w:t>Nước mặt</w:t>
            </w:r>
          </w:p>
        </w:tc>
        <w:tc>
          <w:tcPr>
            <w:tcW w:w="850" w:type="dxa"/>
            <w:vAlign w:val="center"/>
          </w:tcPr>
          <w:p w:rsidR="00E43B08" w:rsidRPr="00611E97" w:rsidRDefault="00E43B08" w:rsidP="006C74D8">
            <w:pPr>
              <w:jc w:val="center"/>
              <w:rPr>
                <w:sz w:val="22"/>
                <w:szCs w:val="22"/>
                <w:vertAlign w:val="superscript"/>
              </w:rPr>
            </w:pPr>
            <w:r>
              <w:rPr>
                <w:sz w:val="22"/>
                <w:szCs w:val="22"/>
              </w:rPr>
              <w:t>m</w:t>
            </w:r>
            <w:r>
              <w:rPr>
                <w:sz w:val="22"/>
                <w:szCs w:val="22"/>
                <w:vertAlign w:val="superscript"/>
              </w:rPr>
              <w:t>3</w:t>
            </w:r>
          </w:p>
        </w:tc>
        <w:tc>
          <w:tcPr>
            <w:tcW w:w="1559" w:type="dxa"/>
            <w:vAlign w:val="center"/>
          </w:tcPr>
          <w:p w:rsidR="00E43B08" w:rsidRDefault="009E6E35" w:rsidP="006C74D8">
            <w:pPr>
              <w:jc w:val="right"/>
              <w:rPr>
                <w:sz w:val="22"/>
                <w:szCs w:val="22"/>
              </w:rPr>
            </w:pPr>
            <w:r>
              <w:rPr>
                <w:sz w:val="22"/>
                <w:szCs w:val="22"/>
              </w:rPr>
              <w:t>4.000</w:t>
            </w:r>
          </w:p>
        </w:tc>
        <w:tc>
          <w:tcPr>
            <w:tcW w:w="1985" w:type="dxa"/>
            <w:vAlign w:val="center"/>
          </w:tcPr>
          <w:p w:rsidR="00E43B08" w:rsidRPr="002556F0" w:rsidRDefault="00E43B08" w:rsidP="006C74D8">
            <w:pPr>
              <w:jc w:val="right"/>
              <w:rPr>
                <w:sz w:val="22"/>
                <w:szCs w:val="22"/>
              </w:rPr>
            </w:pPr>
            <w:r>
              <w:rPr>
                <w:sz w:val="22"/>
                <w:szCs w:val="22"/>
              </w:rPr>
              <w:t>4.000</w:t>
            </w:r>
          </w:p>
        </w:tc>
        <w:tc>
          <w:tcPr>
            <w:tcW w:w="2693" w:type="dxa"/>
            <w:vAlign w:val="center"/>
          </w:tcPr>
          <w:p w:rsidR="00E43B08" w:rsidRDefault="00E43B08" w:rsidP="006C74D8">
            <w:pPr>
              <w:jc w:val="right"/>
              <w:rPr>
                <w:sz w:val="22"/>
                <w:szCs w:val="22"/>
              </w:rPr>
            </w:pPr>
          </w:p>
        </w:tc>
      </w:tr>
      <w:tr w:rsidR="00E43B08" w:rsidRPr="002556F0" w:rsidTr="00E43B08">
        <w:tc>
          <w:tcPr>
            <w:tcW w:w="610" w:type="dxa"/>
            <w:vAlign w:val="center"/>
          </w:tcPr>
          <w:p w:rsidR="00E43B08" w:rsidRPr="002556F0" w:rsidRDefault="00E43B08" w:rsidP="006C74D8">
            <w:pPr>
              <w:tabs>
                <w:tab w:val="left" w:pos="1701"/>
              </w:tabs>
              <w:spacing w:before="40" w:after="40"/>
              <w:jc w:val="center"/>
              <w:rPr>
                <w:sz w:val="22"/>
                <w:szCs w:val="22"/>
              </w:rPr>
            </w:pPr>
          </w:p>
        </w:tc>
        <w:tc>
          <w:tcPr>
            <w:tcW w:w="608" w:type="dxa"/>
            <w:vAlign w:val="center"/>
          </w:tcPr>
          <w:p w:rsidR="00E43B08" w:rsidRPr="002556F0" w:rsidRDefault="00E43B08" w:rsidP="006C74D8">
            <w:pPr>
              <w:tabs>
                <w:tab w:val="left" w:pos="1701"/>
              </w:tabs>
              <w:spacing w:before="40" w:after="40"/>
              <w:jc w:val="center"/>
              <w:rPr>
                <w:sz w:val="22"/>
                <w:szCs w:val="22"/>
              </w:rPr>
            </w:pPr>
          </w:p>
        </w:tc>
        <w:tc>
          <w:tcPr>
            <w:tcW w:w="904" w:type="dxa"/>
            <w:vAlign w:val="center"/>
          </w:tcPr>
          <w:p w:rsidR="00E43B08" w:rsidRPr="002556F0" w:rsidRDefault="00E43B08" w:rsidP="006C74D8">
            <w:pPr>
              <w:jc w:val="center"/>
              <w:rPr>
                <w:sz w:val="22"/>
                <w:szCs w:val="22"/>
              </w:rPr>
            </w:pPr>
            <w:r w:rsidRPr="000E32B8">
              <w:rPr>
                <w:sz w:val="22"/>
                <w:szCs w:val="22"/>
              </w:rPr>
              <w:t>V202</w:t>
            </w:r>
          </w:p>
        </w:tc>
        <w:tc>
          <w:tcPr>
            <w:tcW w:w="992" w:type="dxa"/>
            <w:vAlign w:val="center"/>
          </w:tcPr>
          <w:p w:rsidR="00E43B08" w:rsidRPr="002556F0" w:rsidRDefault="00E43B08" w:rsidP="006C74D8">
            <w:pPr>
              <w:jc w:val="center"/>
              <w:rPr>
                <w:sz w:val="22"/>
                <w:szCs w:val="22"/>
              </w:rPr>
            </w:pPr>
          </w:p>
        </w:tc>
        <w:tc>
          <w:tcPr>
            <w:tcW w:w="980" w:type="dxa"/>
            <w:vAlign w:val="center"/>
          </w:tcPr>
          <w:p w:rsidR="00E43B08" w:rsidRPr="002556F0" w:rsidRDefault="00E43B08" w:rsidP="006C74D8">
            <w:pPr>
              <w:jc w:val="center"/>
              <w:rPr>
                <w:sz w:val="22"/>
                <w:szCs w:val="22"/>
              </w:rPr>
            </w:pPr>
          </w:p>
        </w:tc>
        <w:tc>
          <w:tcPr>
            <w:tcW w:w="721" w:type="dxa"/>
            <w:vAlign w:val="center"/>
          </w:tcPr>
          <w:p w:rsidR="00E43B08" w:rsidRPr="002556F0" w:rsidRDefault="00E43B08" w:rsidP="006C74D8">
            <w:pPr>
              <w:jc w:val="center"/>
              <w:rPr>
                <w:sz w:val="22"/>
                <w:szCs w:val="22"/>
              </w:rPr>
            </w:pPr>
          </w:p>
        </w:tc>
        <w:tc>
          <w:tcPr>
            <w:tcW w:w="2410" w:type="dxa"/>
            <w:vAlign w:val="center"/>
          </w:tcPr>
          <w:p w:rsidR="00E43B08" w:rsidRPr="002556F0" w:rsidRDefault="00E43B08" w:rsidP="006C74D8">
            <w:pPr>
              <w:jc w:val="both"/>
              <w:rPr>
                <w:sz w:val="22"/>
                <w:szCs w:val="22"/>
              </w:rPr>
            </w:pPr>
            <w:r w:rsidRPr="000E32B8">
              <w:rPr>
                <w:sz w:val="22"/>
                <w:szCs w:val="22"/>
              </w:rPr>
              <w:t>Nước dưới đất (nước ngầm)</w:t>
            </w:r>
          </w:p>
        </w:tc>
        <w:tc>
          <w:tcPr>
            <w:tcW w:w="850" w:type="dxa"/>
            <w:vAlign w:val="center"/>
          </w:tcPr>
          <w:p w:rsidR="00E43B08" w:rsidRPr="002556F0" w:rsidRDefault="00E43B08" w:rsidP="006C74D8">
            <w:pPr>
              <w:jc w:val="center"/>
              <w:rPr>
                <w:sz w:val="22"/>
                <w:szCs w:val="22"/>
              </w:rPr>
            </w:pPr>
          </w:p>
        </w:tc>
        <w:tc>
          <w:tcPr>
            <w:tcW w:w="1559" w:type="dxa"/>
            <w:vAlign w:val="center"/>
          </w:tcPr>
          <w:p w:rsidR="00E43B08" w:rsidRPr="002556F0" w:rsidRDefault="00E43B08" w:rsidP="006C74D8">
            <w:pPr>
              <w:jc w:val="right"/>
              <w:rPr>
                <w:sz w:val="22"/>
                <w:szCs w:val="22"/>
              </w:rPr>
            </w:pPr>
          </w:p>
        </w:tc>
        <w:tc>
          <w:tcPr>
            <w:tcW w:w="1985" w:type="dxa"/>
            <w:vAlign w:val="center"/>
          </w:tcPr>
          <w:p w:rsidR="00E43B08" w:rsidRPr="002556F0" w:rsidRDefault="00E43B08" w:rsidP="006C74D8">
            <w:pPr>
              <w:jc w:val="right"/>
              <w:rPr>
                <w:sz w:val="22"/>
                <w:szCs w:val="22"/>
              </w:rPr>
            </w:pPr>
          </w:p>
        </w:tc>
        <w:tc>
          <w:tcPr>
            <w:tcW w:w="2693" w:type="dxa"/>
            <w:vAlign w:val="center"/>
          </w:tcPr>
          <w:p w:rsidR="00E43B08" w:rsidRPr="002556F0" w:rsidRDefault="00E43B08" w:rsidP="006C74D8">
            <w:pPr>
              <w:jc w:val="right"/>
              <w:rPr>
                <w:sz w:val="22"/>
                <w:szCs w:val="22"/>
              </w:rPr>
            </w:pPr>
          </w:p>
        </w:tc>
      </w:tr>
      <w:tr w:rsidR="00E43B08" w:rsidRPr="002556F0" w:rsidTr="00E43B08">
        <w:tc>
          <w:tcPr>
            <w:tcW w:w="610" w:type="dxa"/>
            <w:vAlign w:val="center"/>
          </w:tcPr>
          <w:p w:rsidR="00E43B08" w:rsidRPr="002556F0" w:rsidRDefault="00E43B08" w:rsidP="006C74D8">
            <w:pPr>
              <w:tabs>
                <w:tab w:val="left" w:pos="1701"/>
              </w:tabs>
              <w:spacing w:before="40" w:after="40"/>
              <w:jc w:val="center"/>
              <w:rPr>
                <w:sz w:val="22"/>
                <w:szCs w:val="22"/>
              </w:rPr>
            </w:pPr>
          </w:p>
        </w:tc>
        <w:tc>
          <w:tcPr>
            <w:tcW w:w="608" w:type="dxa"/>
            <w:vAlign w:val="center"/>
          </w:tcPr>
          <w:p w:rsidR="00E43B08" w:rsidRPr="002556F0" w:rsidRDefault="00E43B08" w:rsidP="006C74D8">
            <w:pPr>
              <w:tabs>
                <w:tab w:val="left" w:pos="1701"/>
              </w:tabs>
              <w:spacing w:before="40" w:after="40"/>
              <w:jc w:val="center"/>
              <w:rPr>
                <w:sz w:val="22"/>
                <w:szCs w:val="22"/>
              </w:rPr>
            </w:pPr>
          </w:p>
        </w:tc>
        <w:tc>
          <w:tcPr>
            <w:tcW w:w="904" w:type="dxa"/>
            <w:vAlign w:val="center"/>
          </w:tcPr>
          <w:p w:rsidR="00E43B08" w:rsidRPr="002556F0" w:rsidRDefault="00E43B08" w:rsidP="006C74D8">
            <w:pPr>
              <w:jc w:val="center"/>
              <w:rPr>
                <w:sz w:val="22"/>
                <w:szCs w:val="22"/>
              </w:rPr>
            </w:pPr>
          </w:p>
        </w:tc>
        <w:tc>
          <w:tcPr>
            <w:tcW w:w="992" w:type="dxa"/>
            <w:vAlign w:val="center"/>
          </w:tcPr>
          <w:p w:rsidR="00E43B08" w:rsidRPr="002556F0" w:rsidRDefault="00E43B08" w:rsidP="006C74D8">
            <w:pPr>
              <w:jc w:val="center"/>
              <w:rPr>
                <w:sz w:val="22"/>
                <w:szCs w:val="22"/>
              </w:rPr>
            </w:pPr>
            <w:r w:rsidRPr="000E32B8">
              <w:rPr>
                <w:sz w:val="22"/>
                <w:szCs w:val="22"/>
              </w:rPr>
              <w:t>V20201</w:t>
            </w:r>
          </w:p>
        </w:tc>
        <w:tc>
          <w:tcPr>
            <w:tcW w:w="980" w:type="dxa"/>
            <w:vAlign w:val="center"/>
          </w:tcPr>
          <w:p w:rsidR="00E43B08" w:rsidRPr="002556F0" w:rsidRDefault="00E43B08" w:rsidP="006C74D8">
            <w:pPr>
              <w:jc w:val="center"/>
              <w:rPr>
                <w:sz w:val="22"/>
                <w:szCs w:val="22"/>
              </w:rPr>
            </w:pPr>
          </w:p>
        </w:tc>
        <w:tc>
          <w:tcPr>
            <w:tcW w:w="721" w:type="dxa"/>
            <w:vAlign w:val="center"/>
          </w:tcPr>
          <w:p w:rsidR="00E43B08" w:rsidRPr="002556F0" w:rsidRDefault="00E43B08" w:rsidP="006C74D8">
            <w:pPr>
              <w:jc w:val="center"/>
              <w:rPr>
                <w:sz w:val="22"/>
                <w:szCs w:val="22"/>
              </w:rPr>
            </w:pPr>
          </w:p>
        </w:tc>
        <w:tc>
          <w:tcPr>
            <w:tcW w:w="2410" w:type="dxa"/>
            <w:vAlign w:val="center"/>
          </w:tcPr>
          <w:p w:rsidR="00E43B08" w:rsidRPr="002556F0" w:rsidRDefault="00E43B08" w:rsidP="006C74D8">
            <w:pPr>
              <w:jc w:val="both"/>
              <w:rPr>
                <w:sz w:val="22"/>
                <w:szCs w:val="22"/>
              </w:rPr>
            </w:pPr>
            <w:r w:rsidRPr="000E32B8">
              <w:rPr>
                <w:sz w:val="22"/>
                <w:szCs w:val="22"/>
              </w:rPr>
              <w:t>Nước dưới đất (nước ngầm) phục vụ cho đô thị</w:t>
            </w:r>
          </w:p>
        </w:tc>
        <w:tc>
          <w:tcPr>
            <w:tcW w:w="850" w:type="dxa"/>
            <w:vAlign w:val="center"/>
          </w:tcPr>
          <w:p w:rsidR="00E43B08" w:rsidRPr="00F06509" w:rsidRDefault="00E43B08" w:rsidP="006C74D8">
            <w:pPr>
              <w:jc w:val="center"/>
              <w:rPr>
                <w:sz w:val="22"/>
                <w:szCs w:val="22"/>
                <w:vertAlign w:val="superscript"/>
              </w:rPr>
            </w:pPr>
            <w:r>
              <w:rPr>
                <w:sz w:val="22"/>
                <w:szCs w:val="22"/>
              </w:rPr>
              <w:t>m</w:t>
            </w:r>
            <w:r>
              <w:rPr>
                <w:sz w:val="22"/>
                <w:szCs w:val="22"/>
                <w:vertAlign w:val="superscript"/>
              </w:rPr>
              <w:t>3</w:t>
            </w:r>
          </w:p>
        </w:tc>
        <w:tc>
          <w:tcPr>
            <w:tcW w:w="1559" w:type="dxa"/>
            <w:vAlign w:val="center"/>
          </w:tcPr>
          <w:p w:rsidR="00E43B08" w:rsidRDefault="009E6E35" w:rsidP="006C74D8">
            <w:pPr>
              <w:jc w:val="right"/>
              <w:rPr>
                <w:sz w:val="22"/>
                <w:szCs w:val="22"/>
              </w:rPr>
            </w:pPr>
            <w:r>
              <w:rPr>
                <w:sz w:val="22"/>
                <w:szCs w:val="22"/>
              </w:rPr>
              <w:t>9.000</w:t>
            </w:r>
          </w:p>
        </w:tc>
        <w:tc>
          <w:tcPr>
            <w:tcW w:w="1985" w:type="dxa"/>
            <w:vAlign w:val="center"/>
          </w:tcPr>
          <w:p w:rsidR="00E43B08" w:rsidRPr="002556F0" w:rsidRDefault="00E43B08" w:rsidP="006C74D8">
            <w:pPr>
              <w:jc w:val="right"/>
              <w:rPr>
                <w:sz w:val="22"/>
                <w:szCs w:val="22"/>
              </w:rPr>
            </w:pPr>
            <w:r>
              <w:rPr>
                <w:sz w:val="22"/>
                <w:szCs w:val="22"/>
              </w:rPr>
              <w:t>9.000</w:t>
            </w:r>
          </w:p>
        </w:tc>
        <w:tc>
          <w:tcPr>
            <w:tcW w:w="2693" w:type="dxa"/>
            <w:vAlign w:val="center"/>
          </w:tcPr>
          <w:p w:rsidR="00E43B08" w:rsidRDefault="00E43B08" w:rsidP="006C74D8">
            <w:pPr>
              <w:jc w:val="right"/>
              <w:rPr>
                <w:sz w:val="22"/>
                <w:szCs w:val="22"/>
              </w:rPr>
            </w:pPr>
          </w:p>
        </w:tc>
      </w:tr>
      <w:tr w:rsidR="00E43B08" w:rsidRPr="002556F0" w:rsidTr="00E43B08">
        <w:tc>
          <w:tcPr>
            <w:tcW w:w="610" w:type="dxa"/>
            <w:vAlign w:val="center"/>
          </w:tcPr>
          <w:p w:rsidR="00E43B08" w:rsidRPr="002556F0" w:rsidRDefault="00E43B08" w:rsidP="006C74D8">
            <w:pPr>
              <w:tabs>
                <w:tab w:val="left" w:pos="1701"/>
              </w:tabs>
              <w:spacing w:before="40" w:after="40"/>
              <w:jc w:val="center"/>
              <w:rPr>
                <w:sz w:val="22"/>
                <w:szCs w:val="22"/>
              </w:rPr>
            </w:pPr>
          </w:p>
        </w:tc>
        <w:tc>
          <w:tcPr>
            <w:tcW w:w="608" w:type="dxa"/>
            <w:vAlign w:val="center"/>
          </w:tcPr>
          <w:p w:rsidR="00E43B08" w:rsidRPr="002556F0" w:rsidRDefault="00E43B08" w:rsidP="006C74D8">
            <w:pPr>
              <w:tabs>
                <w:tab w:val="left" w:pos="1701"/>
              </w:tabs>
              <w:spacing w:before="40" w:after="40"/>
              <w:jc w:val="center"/>
              <w:rPr>
                <w:sz w:val="22"/>
                <w:szCs w:val="22"/>
              </w:rPr>
            </w:pPr>
          </w:p>
        </w:tc>
        <w:tc>
          <w:tcPr>
            <w:tcW w:w="904" w:type="dxa"/>
            <w:vAlign w:val="center"/>
          </w:tcPr>
          <w:p w:rsidR="00E43B08" w:rsidRPr="002556F0" w:rsidRDefault="00E43B08" w:rsidP="006C74D8">
            <w:pPr>
              <w:jc w:val="center"/>
              <w:rPr>
                <w:sz w:val="22"/>
                <w:szCs w:val="22"/>
              </w:rPr>
            </w:pPr>
          </w:p>
        </w:tc>
        <w:tc>
          <w:tcPr>
            <w:tcW w:w="992" w:type="dxa"/>
            <w:vAlign w:val="center"/>
          </w:tcPr>
          <w:p w:rsidR="00E43B08" w:rsidRPr="002556F0" w:rsidRDefault="00E43B08" w:rsidP="006C74D8">
            <w:pPr>
              <w:jc w:val="center"/>
              <w:rPr>
                <w:sz w:val="22"/>
                <w:szCs w:val="22"/>
              </w:rPr>
            </w:pPr>
            <w:r w:rsidRPr="000E32B8">
              <w:rPr>
                <w:sz w:val="22"/>
                <w:szCs w:val="22"/>
              </w:rPr>
              <w:t>V20202</w:t>
            </w:r>
          </w:p>
        </w:tc>
        <w:tc>
          <w:tcPr>
            <w:tcW w:w="980" w:type="dxa"/>
            <w:vAlign w:val="center"/>
          </w:tcPr>
          <w:p w:rsidR="00E43B08" w:rsidRPr="002556F0" w:rsidRDefault="00E43B08" w:rsidP="006C74D8">
            <w:pPr>
              <w:jc w:val="center"/>
              <w:rPr>
                <w:sz w:val="22"/>
                <w:szCs w:val="22"/>
              </w:rPr>
            </w:pPr>
          </w:p>
        </w:tc>
        <w:tc>
          <w:tcPr>
            <w:tcW w:w="721" w:type="dxa"/>
            <w:vAlign w:val="center"/>
          </w:tcPr>
          <w:p w:rsidR="00E43B08" w:rsidRPr="002556F0" w:rsidRDefault="00E43B08" w:rsidP="006C74D8">
            <w:pPr>
              <w:jc w:val="center"/>
              <w:rPr>
                <w:sz w:val="22"/>
                <w:szCs w:val="22"/>
              </w:rPr>
            </w:pPr>
          </w:p>
        </w:tc>
        <w:tc>
          <w:tcPr>
            <w:tcW w:w="2410" w:type="dxa"/>
            <w:vAlign w:val="center"/>
          </w:tcPr>
          <w:p w:rsidR="00E43B08" w:rsidRPr="002556F0" w:rsidRDefault="00E43B08" w:rsidP="006C74D8">
            <w:pPr>
              <w:jc w:val="both"/>
              <w:rPr>
                <w:sz w:val="22"/>
                <w:szCs w:val="22"/>
              </w:rPr>
            </w:pPr>
            <w:r w:rsidRPr="000E32B8">
              <w:rPr>
                <w:sz w:val="22"/>
                <w:szCs w:val="22"/>
              </w:rPr>
              <w:t>Nước dưới đất (nước ngầm) phục vụ cho nông thôn</w:t>
            </w:r>
          </w:p>
        </w:tc>
        <w:tc>
          <w:tcPr>
            <w:tcW w:w="850" w:type="dxa"/>
            <w:vAlign w:val="center"/>
          </w:tcPr>
          <w:p w:rsidR="00E43B08" w:rsidRPr="002556F0" w:rsidRDefault="00E43B08" w:rsidP="006C74D8">
            <w:pPr>
              <w:jc w:val="center"/>
              <w:rPr>
                <w:sz w:val="22"/>
                <w:szCs w:val="22"/>
              </w:rPr>
            </w:pPr>
            <w:r>
              <w:rPr>
                <w:sz w:val="22"/>
                <w:szCs w:val="22"/>
              </w:rPr>
              <w:t>m</w:t>
            </w:r>
            <w:r>
              <w:rPr>
                <w:sz w:val="22"/>
                <w:szCs w:val="22"/>
                <w:vertAlign w:val="superscript"/>
              </w:rPr>
              <w:t>3</w:t>
            </w:r>
          </w:p>
        </w:tc>
        <w:tc>
          <w:tcPr>
            <w:tcW w:w="1559" w:type="dxa"/>
            <w:vAlign w:val="center"/>
          </w:tcPr>
          <w:p w:rsidR="00E43B08" w:rsidRDefault="009E6E35" w:rsidP="006C74D8">
            <w:pPr>
              <w:jc w:val="right"/>
              <w:rPr>
                <w:sz w:val="22"/>
                <w:szCs w:val="22"/>
              </w:rPr>
            </w:pPr>
            <w:r>
              <w:rPr>
                <w:sz w:val="22"/>
                <w:szCs w:val="22"/>
              </w:rPr>
              <w:t>6.100</w:t>
            </w:r>
          </w:p>
        </w:tc>
        <w:tc>
          <w:tcPr>
            <w:tcW w:w="1985" w:type="dxa"/>
            <w:vAlign w:val="center"/>
          </w:tcPr>
          <w:p w:rsidR="00E43B08" w:rsidRPr="002556F0" w:rsidRDefault="00E43B08" w:rsidP="006C74D8">
            <w:pPr>
              <w:jc w:val="right"/>
              <w:rPr>
                <w:sz w:val="22"/>
                <w:szCs w:val="22"/>
              </w:rPr>
            </w:pPr>
            <w:r>
              <w:rPr>
                <w:sz w:val="22"/>
                <w:szCs w:val="22"/>
              </w:rPr>
              <w:t>6.100</w:t>
            </w:r>
          </w:p>
        </w:tc>
        <w:tc>
          <w:tcPr>
            <w:tcW w:w="2693" w:type="dxa"/>
            <w:vAlign w:val="center"/>
          </w:tcPr>
          <w:p w:rsidR="00E43B08" w:rsidRDefault="00E43B08" w:rsidP="006C74D8">
            <w:pPr>
              <w:jc w:val="right"/>
              <w:rPr>
                <w:sz w:val="22"/>
                <w:szCs w:val="22"/>
              </w:rPr>
            </w:pPr>
          </w:p>
        </w:tc>
      </w:tr>
      <w:tr w:rsidR="00E43B08" w:rsidRPr="002556F0" w:rsidTr="00E43B08">
        <w:tc>
          <w:tcPr>
            <w:tcW w:w="610" w:type="dxa"/>
            <w:vAlign w:val="center"/>
          </w:tcPr>
          <w:p w:rsidR="00E43B08" w:rsidRPr="002556F0" w:rsidRDefault="00E43B08" w:rsidP="006C74D8">
            <w:pPr>
              <w:tabs>
                <w:tab w:val="left" w:pos="1701"/>
              </w:tabs>
              <w:spacing w:before="40" w:after="40"/>
              <w:jc w:val="center"/>
              <w:rPr>
                <w:sz w:val="22"/>
                <w:szCs w:val="22"/>
              </w:rPr>
            </w:pPr>
          </w:p>
        </w:tc>
        <w:tc>
          <w:tcPr>
            <w:tcW w:w="608" w:type="dxa"/>
            <w:vAlign w:val="center"/>
          </w:tcPr>
          <w:p w:rsidR="00E43B08" w:rsidRPr="00496C6C" w:rsidRDefault="00E43B08" w:rsidP="006C74D8">
            <w:pPr>
              <w:tabs>
                <w:tab w:val="left" w:pos="1701"/>
              </w:tabs>
              <w:spacing w:before="40" w:after="40"/>
              <w:jc w:val="center"/>
              <w:rPr>
                <w:b/>
                <w:sz w:val="22"/>
                <w:szCs w:val="22"/>
              </w:rPr>
            </w:pPr>
            <w:r>
              <w:rPr>
                <w:b/>
                <w:sz w:val="22"/>
                <w:szCs w:val="22"/>
              </w:rPr>
              <w:t>V</w:t>
            </w:r>
            <w:r w:rsidRPr="00496C6C">
              <w:rPr>
                <w:b/>
                <w:sz w:val="22"/>
                <w:szCs w:val="22"/>
              </w:rPr>
              <w:t>3</w:t>
            </w:r>
          </w:p>
        </w:tc>
        <w:tc>
          <w:tcPr>
            <w:tcW w:w="904" w:type="dxa"/>
            <w:vAlign w:val="center"/>
          </w:tcPr>
          <w:p w:rsidR="00E43B08" w:rsidRPr="00496C6C" w:rsidRDefault="00E43B08" w:rsidP="006C74D8">
            <w:pPr>
              <w:jc w:val="center"/>
              <w:rPr>
                <w:b/>
                <w:sz w:val="22"/>
                <w:szCs w:val="22"/>
              </w:rPr>
            </w:pPr>
          </w:p>
        </w:tc>
        <w:tc>
          <w:tcPr>
            <w:tcW w:w="992" w:type="dxa"/>
            <w:vAlign w:val="center"/>
          </w:tcPr>
          <w:p w:rsidR="00E43B08" w:rsidRPr="00496C6C" w:rsidRDefault="00E43B08" w:rsidP="006C74D8">
            <w:pPr>
              <w:jc w:val="center"/>
              <w:rPr>
                <w:b/>
                <w:sz w:val="22"/>
                <w:szCs w:val="22"/>
              </w:rPr>
            </w:pPr>
          </w:p>
        </w:tc>
        <w:tc>
          <w:tcPr>
            <w:tcW w:w="980" w:type="dxa"/>
            <w:vAlign w:val="center"/>
          </w:tcPr>
          <w:p w:rsidR="00E43B08" w:rsidRPr="00496C6C" w:rsidRDefault="00E43B08" w:rsidP="006C74D8">
            <w:pPr>
              <w:jc w:val="center"/>
              <w:rPr>
                <w:b/>
                <w:sz w:val="22"/>
                <w:szCs w:val="22"/>
              </w:rPr>
            </w:pPr>
          </w:p>
        </w:tc>
        <w:tc>
          <w:tcPr>
            <w:tcW w:w="721" w:type="dxa"/>
            <w:vAlign w:val="center"/>
          </w:tcPr>
          <w:p w:rsidR="00E43B08" w:rsidRPr="00496C6C" w:rsidRDefault="00E43B08" w:rsidP="006C74D8">
            <w:pPr>
              <w:jc w:val="center"/>
              <w:rPr>
                <w:b/>
                <w:sz w:val="22"/>
                <w:szCs w:val="22"/>
              </w:rPr>
            </w:pPr>
          </w:p>
        </w:tc>
        <w:tc>
          <w:tcPr>
            <w:tcW w:w="2410" w:type="dxa"/>
            <w:vAlign w:val="center"/>
          </w:tcPr>
          <w:p w:rsidR="00E43B08" w:rsidRPr="00496C6C" w:rsidRDefault="00E43B08" w:rsidP="006C74D8">
            <w:pPr>
              <w:jc w:val="both"/>
              <w:rPr>
                <w:b/>
                <w:sz w:val="22"/>
                <w:szCs w:val="22"/>
              </w:rPr>
            </w:pPr>
            <w:r w:rsidRPr="000E32B8">
              <w:rPr>
                <w:b/>
                <w:sz w:val="22"/>
                <w:szCs w:val="22"/>
              </w:rPr>
              <w:t>Nước thiên nhiên dùng cho mục đích khác</w:t>
            </w:r>
          </w:p>
        </w:tc>
        <w:tc>
          <w:tcPr>
            <w:tcW w:w="850" w:type="dxa"/>
            <w:vAlign w:val="center"/>
          </w:tcPr>
          <w:p w:rsidR="00E43B08" w:rsidRPr="002556F0" w:rsidRDefault="00E43B08" w:rsidP="006C74D8">
            <w:pPr>
              <w:jc w:val="center"/>
              <w:rPr>
                <w:sz w:val="22"/>
                <w:szCs w:val="22"/>
              </w:rPr>
            </w:pPr>
          </w:p>
        </w:tc>
        <w:tc>
          <w:tcPr>
            <w:tcW w:w="1559" w:type="dxa"/>
            <w:vAlign w:val="center"/>
          </w:tcPr>
          <w:p w:rsidR="00E43B08" w:rsidRPr="002556F0" w:rsidRDefault="00E43B08" w:rsidP="006C74D8">
            <w:pPr>
              <w:jc w:val="right"/>
              <w:rPr>
                <w:sz w:val="22"/>
                <w:szCs w:val="22"/>
              </w:rPr>
            </w:pPr>
          </w:p>
        </w:tc>
        <w:tc>
          <w:tcPr>
            <w:tcW w:w="1985" w:type="dxa"/>
            <w:vAlign w:val="center"/>
          </w:tcPr>
          <w:p w:rsidR="00E43B08" w:rsidRPr="002556F0" w:rsidRDefault="00E43B08" w:rsidP="006C74D8">
            <w:pPr>
              <w:jc w:val="right"/>
              <w:rPr>
                <w:sz w:val="22"/>
                <w:szCs w:val="22"/>
              </w:rPr>
            </w:pPr>
          </w:p>
        </w:tc>
        <w:tc>
          <w:tcPr>
            <w:tcW w:w="2693" w:type="dxa"/>
            <w:vAlign w:val="center"/>
          </w:tcPr>
          <w:p w:rsidR="00E43B08" w:rsidRPr="002556F0" w:rsidRDefault="00E43B08" w:rsidP="006C74D8">
            <w:pPr>
              <w:jc w:val="right"/>
              <w:rPr>
                <w:sz w:val="22"/>
                <w:szCs w:val="22"/>
              </w:rPr>
            </w:pPr>
          </w:p>
        </w:tc>
      </w:tr>
      <w:tr w:rsidR="00E43B08" w:rsidRPr="002556F0" w:rsidTr="00E43B08">
        <w:tc>
          <w:tcPr>
            <w:tcW w:w="610" w:type="dxa"/>
            <w:vAlign w:val="center"/>
          </w:tcPr>
          <w:p w:rsidR="00E43B08" w:rsidRPr="002556F0" w:rsidRDefault="00E43B08" w:rsidP="006C74D8">
            <w:pPr>
              <w:tabs>
                <w:tab w:val="left" w:pos="1701"/>
              </w:tabs>
              <w:spacing w:before="40" w:after="40"/>
              <w:jc w:val="center"/>
              <w:rPr>
                <w:sz w:val="22"/>
                <w:szCs w:val="22"/>
              </w:rPr>
            </w:pPr>
          </w:p>
        </w:tc>
        <w:tc>
          <w:tcPr>
            <w:tcW w:w="608" w:type="dxa"/>
            <w:vAlign w:val="center"/>
          </w:tcPr>
          <w:p w:rsidR="00E43B08" w:rsidRPr="002556F0" w:rsidRDefault="00E43B08" w:rsidP="006C74D8">
            <w:pPr>
              <w:tabs>
                <w:tab w:val="left" w:pos="1701"/>
              </w:tabs>
              <w:spacing w:before="40" w:after="40"/>
              <w:jc w:val="center"/>
              <w:rPr>
                <w:sz w:val="22"/>
                <w:szCs w:val="22"/>
              </w:rPr>
            </w:pPr>
          </w:p>
        </w:tc>
        <w:tc>
          <w:tcPr>
            <w:tcW w:w="904" w:type="dxa"/>
            <w:vAlign w:val="center"/>
          </w:tcPr>
          <w:p w:rsidR="00E43B08" w:rsidRPr="002556F0" w:rsidRDefault="00E43B08" w:rsidP="006C74D8">
            <w:pPr>
              <w:jc w:val="center"/>
              <w:rPr>
                <w:sz w:val="22"/>
                <w:szCs w:val="22"/>
              </w:rPr>
            </w:pPr>
            <w:r w:rsidRPr="000E32B8">
              <w:rPr>
                <w:sz w:val="22"/>
                <w:szCs w:val="22"/>
              </w:rPr>
              <w:t>V303</w:t>
            </w:r>
          </w:p>
        </w:tc>
        <w:tc>
          <w:tcPr>
            <w:tcW w:w="992" w:type="dxa"/>
            <w:vAlign w:val="center"/>
          </w:tcPr>
          <w:p w:rsidR="00E43B08" w:rsidRPr="002556F0" w:rsidRDefault="00E43B08" w:rsidP="006C74D8">
            <w:pPr>
              <w:jc w:val="center"/>
              <w:rPr>
                <w:sz w:val="22"/>
                <w:szCs w:val="22"/>
              </w:rPr>
            </w:pPr>
          </w:p>
        </w:tc>
        <w:tc>
          <w:tcPr>
            <w:tcW w:w="980" w:type="dxa"/>
            <w:vAlign w:val="center"/>
          </w:tcPr>
          <w:p w:rsidR="00E43B08" w:rsidRPr="002556F0" w:rsidRDefault="00E43B08" w:rsidP="006C74D8">
            <w:pPr>
              <w:jc w:val="center"/>
              <w:rPr>
                <w:sz w:val="22"/>
                <w:szCs w:val="22"/>
              </w:rPr>
            </w:pPr>
          </w:p>
        </w:tc>
        <w:tc>
          <w:tcPr>
            <w:tcW w:w="721" w:type="dxa"/>
            <w:vAlign w:val="center"/>
          </w:tcPr>
          <w:p w:rsidR="00E43B08" w:rsidRPr="002556F0" w:rsidRDefault="00E43B08" w:rsidP="006C74D8">
            <w:pPr>
              <w:jc w:val="center"/>
              <w:rPr>
                <w:sz w:val="22"/>
                <w:szCs w:val="22"/>
              </w:rPr>
            </w:pPr>
          </w:p>
        </w:tc>
        <w:tc>
          <w:tcPr>
            <w:tcW w:w="2410" w:type="dxa"/>
            <w:vAlign w:val="center"/>
          </w:tcPr>
          <w:p w:rsidR="00E43B08" w:rsidRPr="002556F0" w:rsidRDefault="00E43B08" w:rsidP="006C74D8">
            <w:pPr>
              <w:jc w:val="both"/>
              <w:rPr>
                <w:sz w:val="22"/>
                <w:szCs w:val="22"/>
              </w:rPr>
            </w:pPr>
            <w:r w:rsidRPr="000E32B8">
              <w:rPr>
                <w:sz w:val="22"/>
                <w:szCs w:val="22"/>
              </w:rPr>
              <w:t xml:space="preserve">Nước thiên nhiên dùng mục đích khác (làm mát, vệ sinh công nghiệp, xây dựng, dùng cho sản xuất, chế biến thủy sản, </w:t>
            </w:r>
            <w:r>
              <w:rPr>
                <w:sz w:val="22"/>
                <w:szCs w:val="22"/>
              </w:rPr>
              <w:t>hải sản, nông sản</w:t>
            </w:r>
            <w:r w:rsidRPr="000E32B8">
              <w:rPr>
                <w:sz w:val="22"/>
                <w:szCs w:val="22"/>
              </w:rPr>
              <w:t>)</w:t>
            </w:r>
          </w:p>
        </w:tc>
        <w:tc>
          <w:tcPr>
            <w:tcW w:w="850" w:type="dxa"/>
            <w:vAlign w:val="center"/>
          </w:tcPr>
          <w:p w:rsidR="00E43B08" w:rsidRPr="002556F0" w:rsidRDefault="00E43B08" w:rsidP="006C74D8">
            <w:pPr>
              <w:jc w:val="center"/>
              <w:rPr>
                <w:sz w:val="22"/>
                <w:szCs w:val="22"/>
              </w:rPr>
            </w:pPr>
          </w:p>
        </w:tc>
        <w:tc>
          <w:tcPr>
            <w:tcW w:w="1559" w:type="dxa"/>
            <w:vAlign w:val="center"/>
          </w:tcPr>
          <w:p w:rsidR="00E43B08" w:rsidRPr="002556F0" w:rsidRDefault="00E43B08" w:rsidP="006C74D8">
            <w:pPr>
              <w:jc w:val="right"/>
              <w:rPr>
                <w:sz w:val="22"/>
                <w:szCs w:val="22"/>
              </w:rPr>
            </w:pPr>
          </w:p>
        </w:tc>
        <w:tc>
          <w:tcPr>
            <w:tcW w:w="1985" w:type="dxa"/>
            <w:vAlign w:val="center"/>
          </w:tcPr>
          <w:p w:rsidR="00E43B08" w:rsidRPr="002556F0" w:rsidRDefault="00E43B08" w:rsidP="006C74D8">
            <w:pPr>
              <w:jc w:val="right"/>
              <w:rPr>
                <w:sz w:val="22"/>
                <w:szCs w:val="22"/>
              </w:rPr>
            </w:pPr>
          </w:p>
        </w:tc>
        <w:tc>
          <w:tcPr>
            <w:tcW w:w="2693" w:type="dxa"/>
            <w:vAlign w:val="center"/>
          </w:tcPr>
          <w:p w:rsidR="00E43B08" w:rsidRPr="002556F0" w:rsidRDefault="00E43B08" w:rsidP="006C74D8">
            <w:pPr>
              <w:jc w:val="right"/>
              <w:rPr>
                <w:sz w:val="22"/>
                <w:szCs w:val="22"/>
              </w:rPr>
            </w:pPr>
          </w:p>
        </w:tc>
      </w:tr>
      <w:tr w:rsidR="00E43B08" w:rsidRPr="002556F0" w:rsidTr="00E43B08">
        <w:tc>
          <w:tcPr>
            <w:tcW w:w="610" w:type="dxa"/>
            <w:vAlign w:val="center"/>
          </w:tcPr>
          <w:p w:rsidR="00E43B08" w:rsidRPr="002556F0" w:rsidRDefault="00E43B08" w:rsidP="006C74D8">
            <w:pPr>
              <w:tabs>
                <w:tab w:val="left" w:pos="1701"/>
              </w:tabs>
              <w:spacing w:before="40" w:after="40"/>
              <w:jc w:val="center"/>
              <w:rPr>
                <w:sz w:val="22"/>
                <w:szCs w:val="22"/>
              </w:rPr>
            </w:pPr>
          </w:p>
        </w:tc>
        <w:tc>
          <w:tcPr>
            <w:tcW w:w="608" w:type="dxa"/>
            <w:vAlign w:val="center"/>
          </w:tcPr>
          <w:p w:rsidR="00E43B08" w:rsidRPr="002556F0" w:rsidRDefault="00E43B08" w:rsidP="006C74D8">
            <w:pPr>
              <w:tabs>
                <w:tab w:val="left" w:pos="1701"/>
              </w:tabs>
              <w:spacing w:before="40" w:after="40"/>
              <w:jc w:val="center"/>
              <w:rPr>
                <w:sz w:val="22"/>
                <w:szCs w:val="22"/>
              </w:rPr>
            </w:pPr>
          </w:p>
        </w:tc>
        <w:tc>
          <w:tcPr>
            <w:tcW w:w="904" w:type="dxa"/>
            <w:vAlign w:val="center"/>
          </w:tcPr>
          <w:p w:rsidR="00E43B08" w:rsidRPr="002556F0" w:rsidRDefault="00E43B08" w:rsidP="006C74D8">
            <w:pPr>
              <w:jc w:val="center"/>
              <w:rPr>
                <w:sz w:val="22"/>
                <w:szCs w:val="22"/>
              </w:rPr>
            </w:pPr>
          </w:p>
        </w:tc>
        <w:tc>
          <w:tcPr>
            <w:tcW w:w="992" w:type="dxa"/>
            <w:vAlign w:val="center"/>
          </w:tcPr>
          <w:p w:rsidR="00E43B08" w:rsidRPr="002556F0" w:rsidRDefault="00E43B08" w:rsidP="006C74D8">
            <w:pPr>
              <w:jc w:val="center"/>
              <w:rPr>
                <w:sz w:val="22"/>
                <w:szCs w:val="22"/>
              </w:rPr>
            </w:pPr>
            <w:r w:rsidRPr="000E32B8">
              <w:rPr>
                <w:sz w:val="22"/>
                <w:szCs w:val="22"/>
              </w:rPr>
              <w:t>V30301</w:t>
            </w:r>
          </w:p>
        </w:tc>
        <w:tc>
          <w:tcPr>
            <w:tcW w:w="980" w:type="dxa"/>
            <w:vAlign w:val="center"/>
          </w:tcPr>
          <w:p w:rsidR="00E43B08" w:rsidRPr="002556F0" w:rsidRDefault="00E43B08" w:rsidP="006C74D8">
            <w:pPr>
              <w:jc w:val="center"/>
              <w:rPr>
                <w:sz w:val="22"/>
                <w:szCs w:val="22"/>
              </w:rPr>
            </w:pPr>
          </w:p>
        </w:tc>
        <w:tc>
          <w:tcPr>
            <w:tcW w:w="721" w:type="dxa"/>
            <w:vAlign w:val="center"/>
          </w:tcPr>
          <w:p w:rsidR="00E43B08" w:rsidRPr="002556F0" w:rsidRDefault="00E43B08" w:rsidP="006C74D8">
            <w:pPr>
              <w:jc w:val="center"/>
              <w:rPr>
                <w:sz w:val="22"/>
                <w:szCs w:val="22"/>
              </w:rPr>
            </w:pPr>
          </w:p>
        </w:tc>
        <w:tc>
          <w:tcPr>
            <w:tcW w:w="2410" w:type="dxa"/>
            <w:vAlign w:val="center"/>
          </w:tcPr>
          <w:p w:rsidR="00E43B08" w:rsidRPr="002556F0" w:rsidRDefault="00E43B08" w:rsidP="006C74D8">
            <w:pPr>
              <w:jc w:val="both"/>
              <w:rPr>
                <w:sz w:val="22"/>
                <w:szCs w:val="22"/>
              </w:rPr>
            </w:pPr>
            <w:r w:rsidRPr="000E32B8">
              <w:rPr>
                <w:sz w:val="22"/>
                <w:szCs w:val="22"/>
              </w:rPr>
              <w:t>Nước mặt</w:t>
            </w:r>
          </w:p>
        </w:tc>
        <w:tc>
          <w:tcPr>
            <w:tcW w:w="850" w:type="dxa"/>
            <w:vAlign w:val="center"/>
          </w:tcPr>
          <w:p w:rsidR="00E43B08" w:rsidRPr="002556F0" w:rsidRDefault="00E43B08" w:rsidP="006C74D8">
            <w:pPr>
              <w:jc w:val="center"/>
              <w:rPr>
                <w:sz w:val="22"/>
                <w:szCs w:val="22"/>
              </w:rPr>
            </w:pPr>
            <w:r>
              <w:rPr>
                <w:sz w:val="22"/>
                <w:szCs w:val="22"/>
              </w:rPr>
              <w:t>m</w:t>
            </w:r>
            <w:r>
              <w:rPr>
                <w:sz w:val="22"/>
                <w:szCs w:val="22"/>
                <w:vertAlign w:val="superscript"/>
              </w:rPr>
              <w:t>3</w:t>
            </w:r>
          </w:p>
        </w:tc>
        <w:tc>
          <w:tcPr>
            <w:tcW w:w="1559" w:type="dxa"/>
            <w:vAlign w:val="center"/>
          </w:tcPr>
          <w:p w:rsidR="00E43B08" w:rsidRDefault="009E6E35" w:rsidP="006C74D8">
            <w:pPr>
              <w:jc w:val="right"/>
              <w:rPr>
                <w:sz w:val="22"/>
                <w:szCs w:val="22"/>
              </w:rPr>
            </w:pPr>
            <w:r>
              <w:rPr>
                <w:sz w:val="22"/>
                <w:szCs w:val="22"/>
              </w:rPr>
              <w:t>4.000</w:t>
            </w:r>
          </w:p>
        </w:tc>
        <w:tc>
          <w:tcPr>
            <w:tcW w:w="1985" w:type="dxa"/>
            <w:vAlign w:val="center"/>
          </w:tcPr>
          <w:p w:rsidR="00E43B08" w:rsidRPr="002556F0" w:rsidRDefault="00E43B08" w:rsidP="006C74D8">
            <w:pPr>
              <w:jc w:val="right"/>
              <w:rPr>
                <w:sz w:val="22"/>
                <w:szCs w:val="22"/>
              </w:rPr>
            </w:pPr>
            <w:r>
              <w:rPr>
                <w:sz w:val="22"/>
                <w:szCs w:val="22"/>
              </w:rPr>
              <w:t>4.000</w:t>
            </w:r>
          </w:p>
        </w:tc>
        <w:tc>
          <w:tcPr>
            <w:tcW w:w="2693" w:type="dxa"/>
            <w:vAlign w:val="center"/>
          </w:tcPr>
          <w:p w:rsidR="00E43B08" w:rsidRDefault="00E43B08" w:rsidP="006C74D8">
            <w:pPr>
              <w:jc w:val="right"/>
              <w:rPr>
                <w:sz w:val="22"/>
                <w:szCs w:val="22"/>
              </w:rPr>
            </w:pPr>
          </w:p>
        </w:tc>
      </w:tr>
      <w:tr w:rsidR="00E43B08" w:rsidRPr="002556F0" w:rsidTr="00E43B08">
        <w:tc>
          <w:tcPr>
            <w:tcW w:w="610" w:type="dxa"/>
            <w:vAlign w:val="center"/>
          </w:tcPr>
          <w:p w:rsidR="00E43B08" w:rsidRPr="002556F0" w:rsidRDefault="00E43B08" w:rsidP="006C74D8">
            <w:pPr>
              <w:tabs>
                <w:tab w:val="left" w:pos="1701"/>
              </w:tabs>
              <w:spacing w:before="40" w:after="40"/>
              <w:jc w:val="center"/>
              <w:rPr>
                <w:sz w:val="22"/>
                <w:szCs w:val="22"/>
              </w:rPr>
            </w:pPr>
          </w:p>
        </w:tc>
        <w:tc>
          <w:tcPr>
            <w:tcW w:w="608" w:type="dxa"/>
            <w:vAlign w:val="center"/>
          </w:tcPr>
          <w:p w:rsidR="00E43B08" w:rsidRPr="002556F0" w:rsidRDefault="00E43B08" w:rsidP="006C74D8">
            <w:pPr>
              <w:tabs>
                <w:tab w:val="left" w:pos="1701"/>
              </w:tabs>
              <w:spacing w:before="40" w:after="40"/>
              <w:jc w:val="center"/>
              <w:rPr>
                <w:sz w:val="22"/>
                <w:szCs w:val="22"/>
              </w:rPr>
            </w:pPr>
          </w:p>
        </w:tc>
        <w:tc>
          <w:tcPr>
            <w:tcW w:w="904" w:type="dxa"/>
            <w:vAlign w:val="center"/>
          </w:tcPr>
          <w:p w:rsidR="00E43B08" w:rsidRPr="002556F0" w:rsidRDefault="00E43B08" w:rsidP="006C74D8">
            <w:pPr>
              <w:jc w:val="center"/>
              <w:rPr>
                <w:sz w:val="22"/>
                <w:szCs w:val="22"/>
              </w:rPr>
            </w:pPr>
          </w:p>
        </w:tc>
        <w:tc>
          <w:tcPr>
            <w:tcW w:w="992" w:type="dxa"/>
            <w:vAlign w:val="center"/>
          </w:tcPr>
          <w:p w:rsidR="00E43B08" w:rsidRPr="002556F0" w:rsidRDefault="00E43B08" w:rsidP="006C74D8">
            <w:pPr>
              <w:jc w:val="center"/>
              <w:rPr>
                <w:sz w:val="22"/>
                <w:szCs w:val="22"/>
              </w:rPr>
            </w:pPr>
            <w:r w:rsidRPr="000E32B8">
              <w:rPr>
                <w:sz w:val="22"/>
                <w:szCs w:val="22"/>
              </w:rPr>
              <w:t>V30302</w:t>
            </w:r>
          </w:p>
        </w:tc>
        <w:tc>
          <w:tcPr>
            <w:tcW w:w="980" w:type="dxa"/>
            <w:vAlign w:val="center"/>
          </w:tcPr>
          <w:p w:rsidR="00E43B08" w:rsidRPr="002556F0" w:rsidRDefault="00E43B08" w:rsidP="006C74D8">
            <w:pPr>
              <w:jc w:val="center"/>
              <w:rPr>
                <w:sz w:val="22"/>
                <w:szCs w:val="22"/>
              </w:rPr>
            </w:pPr>
          </w:p>
        </w:tc>
        <w:tc>
          <w:tcPr>
            <w:tcW w:w="721" w:type="dxa"/>
            <w:vAlign w:val="center"/>
          </w:tcPr>
          <w:p w:rsidR="00E43B08" w:rsidRPr="002556F0" w:rsidRDefault="00E43B08" w:rsidP="006C74D8">
            <w:pPr>
              <w:jc w:val="center"/>
              <w:rPr>
                <w:sz w:val="22"/>
                <w:szCs w:val="22"/>
              </w:rPr>
            </w:pPr>
          </w:p>
        </w:tc>
        <w:tc>
          <w:tcPr>
            <w:tcW w:w="2410" w:type="dxa"/>
            <w:vAlign w:val="center"/>
          </w:tcPr>
          <w:p w:rsidR="00E43B08" w:rsidRPr="002556F0" w:rsidRDefault="00E43B08" w:rsidP="006C74D8">
            <w:pPr>
              <w:jc w:val="both"/>
              <w:rPr>
                <w:sz w:val="22"/>
                <w:szCs w:val="22"/>
              </w:rPr>
            </w:pPr>
            <w:r w:rsidRPr="000E32B8">
              <w:rPr>
                <w:sz w:val="22"/>
                <w:szCs w:val="22"/>
              </w:rPr>
              <w:t>Nước ngầm</w:t>
            </w:r>
          </w:p>
        </w:tc>
        <w:tc>
          <w:tcPr>
            <w:tcW w:w="850" w:type="dxa"/>
            <w:vAlign w:val="center"/>
          </w:tcPr>
          <w:p w:rsidR="00E43B08" w:rsidRPr="002556F0" w:rsidRDefault="00E43B08" w:rsidP="006C74D8">
            <w:pPr>
              <w:jc w:val="center"/>
              <w:rPr>
                <w:sz w:val="22"/>
                <w:szCs w:val="22"/>
              </w:rPr>
            </w:pPr>
            <w:r>
              <w:rPr>
                <w:sz w:val="22"/>
                <w:szCs w:val="22"/>
              </w:rPr>
              <w:t>m</w:t>
            </w:r>
            <w:r>
              <w:rPr>
                <w:sz w:val="22"/>
                <w:szCs w:val="22"/>
                <w:vertAlign w:val="superscript"/>
              </w:rPr>
              <w:t>3</w:t>
            </w:r>
          </w:p>
        </w:tc>
        <w:tc>
          <w:tcPr>
            <w:tcW w:w="1559" w:type="dxa"/>
            <w:vAlign w:val="center"/>
          </w:tcPr>
          <w:p w:rsidR="00E43B08" w:rsidRDefault="009E6E35" w:rsidP="006C74D8">
            <w:pPr>
              <w:jc w:val="right"/>
              <w:rPr>
                <w:sz w:val="22"/>
                <w:szCs w:val="22"/>
              </w:rPr>
            </w:pPr>
            <w:r>
              <w:rPr>
                <w:sz w:val="22"/>
                <w:szCs w:val="22"/>
              </w:rPr>
              <w:t>7.000</w:t>
            </w:r>
          </w:p>
        </w:tc>
        <w:tc>
          <w:tcPr>
            <w:tcW w:w="1985" w:type="dxa"/>
            <w:vAlign w:val="center"/>
          </w:tcPr>
          <w:p w:rsidR="00E43B08" w:rsidRPr="002556F0" w:rsidRDefault="00E43B08" w:rsidP="006C74D8">
            <w:pPr>
              <w:jc w:val="right"/>
              <w:rPr>
                <w:sz w:val="22"/>
                <w:szCs w:val="22"/>
              </w:rPr>
            </w:pPr>
            <w:r>
              <w:rPr>
                <w:sz w:val="22"/>
                <w:szCs w:val="22"/>
              </w:rPr>
              <w:t>7.000</w:t>
            </w:r>
          </w:p>
        </w:tc>
        <w:tc>
          <w:tcPr>
            <w:tcW w:w="2693" w:type="dxa"/>
            <w:vAlign w:val="center"/>
          </w:tcPr>
          <w:p w:rsidR="00E43B08" w:rsidRDefault="00E43B08" w:rsidP="006C74D8">
            <w:pPr>
              <w:jc w:val="right"/>
              <w:rPr>
                <w:sz w:val="22"/>
                <w:szCs w:val="22"/>
              </w:rPr>
            </w:pPr>
          </w:p>
        </w:tc>
      </w:tr>
    </w:tbl>
    <w:p w:rsidR="002B1C3C" w:rsidRPr="002B1C3C" w:rsidRDefault="002B1C3C" w:rsidP="006329D8">
      <w:pPr>
        <w:widowControl w:val="0"/>
        <w:tabs>
          <w:tab w:val="center" w:pos="1843"/>
          <w:tab w:val="center" w:pos="6237"/>
        </w:tabs>
        <w:spacing w:before="60" w:after="60"/>
        <w:ind w:firstLine="567"/>
        <w:jc w:val="both"/>
        <w:rPr>
          <w:b/>
        </w:rPr>
      </w:pPr>
    </w:p>
    <w:sectPr w:rsidR="002B1C3C" w:rsidRPr="002B1C3C" w:rsidSect="0079261B">
      <w:headerReference w:type="default" r:id="rId8"/>
      <w:footerReference w:type="even" r:id="rId9"/>
      <w:footerReference w:type="default" r:id="rId10"/>
      <w:pgSz w:w="16840" w:h="11907" w:orient="landscape" w:code="9"/>
      <w:pgMar w:top="1701" w:right="1134" w:bottom="1843" w:left="1134" w:header="72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0B8" w:rsidRDefault="005570B8">
      <w:r>
        <w:separator/>
      </w:r>
    </w:p>
  </w:endnote>
  <w:endnote w:type="continuationSeparator" w:id="0">
    <w:p w:rsidR="005570B8" w:rsidRDefault="0055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9D1" w:rsidRDefault="006529D1"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29D1" w:rsidRDefault="006529D1"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9D1" w:rsidRDefault="006529D1" w:rsidP="00EA79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0B8" w:rsidRDefault="005570B8">
      <w:r>
        <w:separator/>
      </w:r>
    </w:p>
  </w:footnote>
  <w:footnote w:type="continuationSeparator" w:id="0">
    <w:p w:rsidR="005570B8" w:rsidRDefault="00557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9D1" w:rsidRDefault="006529D1">
    <w:pPr>
      <w:pStyle w:val="Header"/>
      <w:jc w:val="center"/>
    </w:pPr>
    <w:r>
      <w:fldChar w:fldCharType="begin"/>
    </w:r>
    <w:r>
      <w:instrText xml:space="preserve"> PAGE   \* MERGEFORMAT </w:instrText>
    </w:r>
    <w:r>
      <w:fldChar w:fldCharType="separate"/>
    </w:r>
    <w:r w:rsidR="000C587C">
      <w:rPr>
        <w:noProof/>
      </w:rPr>
      <w:t>10</w:t>
    </w:r>
    <w:r>
      <w:rPr>
        <w:noProof/>
      </w:rPr>
      <w:fldChar w:fldCharType="end"/>
    </w:r>
  </w:p>
  <w:p w:rsidR="006529D1" w:rsidRDefault="006529D1"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12E"/>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47F26"/>
    <w:rsid w:val="00052650"/>
    <w:rsid w:val="000544CF"/>
    <w:rsid w:val="00056A91"/>
    <w:rsid w:val="00057F81"/>
    <w:rsid w:val="00060632"/>
    <w:rsid w:val="0006284C"/>
    <w:rsid w:val="00064831"/>
    <w:rsid w:val="000650C9"/>
    <w:rsid w:val="0006754B"/>
    <w:rsid w:val="00067ACA"/>
    <w:rsid w:val="00067B6F"/>
    <w:rsid w:val="00071E89"/>
    <w:rsid w:val="000749CB"/>
    <w:rsid w:val="00082FF4"/>
    <w:rsid w:val="0009302D"/>
    <w:rsid w:val="00093512"/>
    <w:rsid w:val="00095C02"/>
    <w:rsid w:val="000A5F75"/>
    <w:rsid w:val="000A7EF6"/>
    <w:rsid w:val="000B214D"/>
    <w:rsid w:val="000B3EDC"/>
    <w:rsid w:val="000C1880"/>
    <w:rsid w:val="000C2EFA"/>
    <w:rsid w:val="000C587C"/>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214E"/>
    <w:rsid w:val="0010233C"/>
    <w:rsid w:val="001027EF"/>
    <w:rsid w:val="00105E92"/>
    <w:rsid w:val="00106076"/>
    <w:rsid w:val="0010626B"/>
    <w:rsid w:val="00107FAC"/>
    <w:rsid w:val="001114FB"/>
    <w:rsid w:val="001123A8"/>
    <w:rsid w:val="0011266A"/>
    <w:rsid w:val="00113596"/>
    <w:rsid w:val="0011717D"/>
    <w:rsid w:val="00117F16"/>
    <w:rsid w:val="0012146F"/>
    <w:rsid w:val="00124695"/>
    <w:rsid w:val="00124ABC"/>
    <w:rsid w:val="0012619B"/>
    <w:rsid w:val="001265DB"/>
    <w:rsid w:val="001312A6"/>
    <w:rsid w:val="00135B8A"/>
    <w:rsid w:val="00136A16"/>
    <w:rsid w:val="00136FC8"/>
    <w:rsid w:val="001411E5"/>
    <w:rsid w:val="00141DC9"/>
    <w:rsid w:val="00142EAD"/>
    <w:rsid w:val="00144E2A"/>
    <w:rsid w:val="00145741"/>
    <w:rsid w:val="00146333"/>
    <w:rsid w:val="001463D9"/>
    <w:rsid w:val="00146714"/>
    <w:rsid w:val="00151B0A"/>
    <w:rsid w:val="00151CCA"/>
    <w:rsid w:val="001532F7"/>
    <w:rsid w:val="00157E25"/>
    <w:rsid w:val="001612D8"/>
    <w:rsid w:val="00161510"/>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06CD"/>
    <w:rsid w:val="001D28F5"/>
    <w:rsid w:val="001D35E1"/>
    <w:rsid w:val="001E2B9F"/>
    <w:rsid w:val="001E7CF5"/>
    <w:rsid w:val="001F38C4"/>
    <w:rsid w:val="001F543A"/>
    <w:rsid w:val="001F64E4"/>
    <w:rsid w:val="00205B4F"/>
    <w:rsid w:val="00207709"/>
    <w:rsid w:val="00211A0F"/>
    <w:rsid w:val="00212A3F"/>
    <w:rsid w:val="00212E7D"/>
    <w:rsid w:val="0021361B"/>
    <w:rsid w:val="00221524"/>
    <w:rsid w:val="002228D9"/>
    <w:rsid w:val="00223100"/>
    <w:rsid w:val="00223A39"/>
    <w:rsid w:val="00223F35"/>
    <w:rsid w:val="00224765"/>
    <w:rsid w:val="00224928"/>
    <w:rsid w:val="00225350"/>
    <w:rsid w:val="00226C0C"/>
    <w:rsid w:val="00227C87"/>
    <w:rsid w:val="00227D5E"/>
    <w:rsid w:val="00227F4F"/>
    <w:rsid w:val="002303E4"/>
    <w:rsid w:val="00230A24"/>
    <w:rsid w:val="00230D4A"/>
    <w:rsid w:val="00232CA5"/>
    <w:rsid w:val="002370D6"/>
    <w:rsid w:val="002440BE"/>
    <w:rsid w:val="002441EF"/>
    <w:rsid w:val="00244B2D"/>
    <w:rsid w:val="0024535F"/>
    <w:rsid w:val="0024635F"/>
    <w:rsid w:val="00246A36"/>
    <w:rsid w:val="00247C97"/>
    <w:rsid w:val="0025030E"/>
    <w:rsid w:val="00253B5F"/>
    <w:rsid w:val="00260124"/>
    <w:rsid w:val="002612D4"/>
    <w:rsid w:val="002632B3"/>
    <w:rsid w:val="00266500"/>
    <w:rsid w:val="00266BD7"/>
    <w:rsid w:val="00270A0E"/>
    <w:rsid w:val="00270F8E"/>
    <w:rsid w:val="00275031"/>
    <w:rsid w:val="002750EE"/>
    <w:rsid w:val="00276329"/>
    <w:rsid w:val="002771E3"/>
    <w:rsid w:val="00277BA0"/>
    <w:rsid w:val="002825D2"/>
    <w:rsid w:val="00286B34"/>
    <w:rsid w:val="00286C28"/>
    <w:rsid w:val="00293954"/>
    <w:rsid w:val="0029609E"/>
    <w:rsid w:val="002A562E"/>
    <w:rsid w:val="002B1632"/>
    <w:rsid w:val="002B1C3C"/>
    <w:rsid w:val="002B1EAC"/>
    <w:rsid w:val="002B5848"/>
    <w:rsid w:val="002B5BF8"/>
    <w:rsid w:val="002C18ED"/>
    <w:rsid w:val="002C1C17"/>
    <w:rsid w:val="002C2653"/>
    <w:rsid w:val="002D14A4"/>
    <w:rsid w:val="002D275E"/>
    <w:rsid w:val="002D30E9"/>
    <w:rsid w:val="002D427C"/>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49BA"/>
    <w:rsid w:val="00325EA0"/>
    <w:rsid w:val="003269F0"/>
    <w:rsid w:val="003278EF"/>
    <w:rsid w:val="00327B54"/>
    <w:rsid w:val="003356F4"/>
    <w:rsid w:val="003410BF"/>
    <w:rsid w:val="003426AB"/>
    <w:rsid w:val="0034294F"/>
    <w:rsid w:val="00342D02"/>
    <w:rsid w:val="00344139"/>
    <w:rsid w:val="00344CEF"/>
    <w:rsid w:val="00346009"/>
    <w:rsid w:val="00352E44"/>
    <w:rsid w:val="00353A65"/>
    <w:rsid w:val="003571D9"/>
    <w:rsid w:val="003607E0"/>
    <w:rsid w:val="00360F2E"/>
    <w:rsid w:val="00361BF8"/>
    <w:rsid w:val="00364570"/>
    <w:rsid w:val="0037016B"/>
    <w:rsid w:val="00372B17"/>
    <w:rsid w:val="003741FE"/>
    <w:rsid w:val="00375920"/>
    <w:rsid w:val="00380AB0"/>
    <w:rsid w:val="003814F0"/>
    <w:rsid w:val="003834BE"/>
    <w:rsid w:val="00383C07"/>
    <w:rsid w:val="00383E09"/>
    <w:rsid w:val="00385E9A"/>
    <w:rsid w:val="003860C7"/>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1CF"/>
    <w:rsid w:val="003C4664"/>
    <w:rsid w:val="003C5788"/>
    <w:rsid w:val="003C61A5"/>
    <w:rsid w:val="003C7BE2"/>
    <w:rsid w:val="003D2BD5"/>
    <w:rsid w:val="003D3926"/>
    <w:rsid w:val="003D42F5"/>
    <w:rsid w:val="003D456D"/>
    <w:rsid w:val="003D4E1C"/>
    <w:rsid w:val="003D60DD"/>
    <w:rsid w:val="003D7EF8"/>
    <w:rsid w:val="003E1172"/>
    <w:rsid w:val="003E58B0"/>
    <w:rsid w:val="003F096C"/>
    <w:rsid w:val="003F16CD"/>
    <w:rsid w:val="003F3DFF"/>
    <w:rsid w:val="003F4CFC"/>
    <w:rsid w:val="003F5FDD"/>
    <w:rsid w:val="003F677D"/>
    <w:rsid w:val="004039BF"/>
    <w:rsid w:val="00404BDE"/>
    <w:rsid w:val="004052F3"/>
    <w:rsid w:val="0040598E"/>
    <w:rsid w:val="00407ADF"/>
    <w:rsid w:val="00411B8A"/>
    <w:rsid w:val="00413830"/>
    <w:rsid w:val="00413A01"/>
    <w:rsid w:val="00417221"/>
    <w:rsid w:val="00420B87"/>
    <w:rsid w:val="00422492"/>
    <w:rsid w:val="00424972"/>
    <w:rsid w:val="0042752E"/>
    <w:rsid w:val="00441293"/>
    <w:rsid w:val="004438F0"/>
    <w:rsid w:val="00443957"/>
    <w:rsid w:val="00443E27"/>
    <w:rsid w:val="00447385"/>
    <w:rsid w:val="00450CDC"/>
    <w:rsid w:val="00450DCD"/>
    <w:rsid w:val="00453214"/>
    <w:rsid w:val="00453E79"/>
    <w:rsid w:val="004559D9"/>
    <w:rsid w:val="004603A4"/>
    <w:rsid w:val="004614CC"/>
    <w:rsid w:val="0046229D"/>
    <w:rsid w:val="0046244E"/>
    <w:rsid w:val="0046533E"/>
    <w:rsid w:val="00470008"/>
    <w:rsid w:val="00471C45"/>
    <w:rsid w:val="004735B3"/>
    <w:rsid w:val="0047394A"/>
    <w:rsid w:val="00475906"/>
    <w:rsid w:val="00475A53"/>
    <w:rsid w:val="00476BD8"/>
    <w:rsid w:val="00476FF6"/>
    <w:rsid w:val="00480FF8"/>
    <w:rsid w:val="004817A8"/>
    <w:rsid w:val="00482C0E"/>
    <w:rsid w:val="00490C43"/>
    <w:rsid w:val="00491059"/>
    <w:rsid w:val="004959E0"/>
    <w:rsid w:val="00497A63"/>
    <w:rsid w:val="00497E23"/>
    <w:rsid w:val="004A34BD"/>
    <w:rsid w:val="004A5976"/>
    <w:rsid w:val="004C0F15"/>
    <w:rsid w:val="004C0FD9"/>
    <w:rsid w:val="004C18E5"/>
    <w:rsid w:val="004C263C"/>
    <w:rsid w:val="004C2E4C"/>
    <w:rsid w:val="004C5F96"/>
    <w:rsid w:val="004D0583"/>
    <w:rsid w:val="004D1B89"/>
    <w:rsid w:val="004D391A"/>
    <w:rsid w:val="004D3ECD"/>
    <w:rsid w:val="004D4765"/>
    <w:rsid w:val="004D66D8"/>
    <w:rsid w:val="004E2379"/>
    <w:rsid w:val="004E5F97"/>
    <w:rsid w:val="004E6948"/>
    <w:rsid w:val="004F5470"/>
    <w:rsid w:val="004F54EB"/>
    <w:rsid w:val="004F5A9A"/>
    <w:rsid w:val="005033E4"/>
    <w:rsid w:val="0050562C"/>
    <w:rsid w:val="005057FB"/>
    <w:rsid w:val="00514BCD"/>
    <w:rsid w:val="005166BE"/>
    <w:rsid w:val="00516906"/>
    <w:rsid w:val="00524930"/>
    <w:rsid w:val="005272D8"/>
    <w:rsid w:val="00527750"/>
    <w:rsid w:val="00534F1A"/>
    <w:rsid w:val="00535012"/>
    <w:rsid w:val="00535B32"/>
    <w:rsid w:val="005378A8"/>
    <w:rsid w:val="00540FEA"/>
    <w:rsid w:val="00542A7D"/>
    <w:rsid w:val="00543AD1"/>
    <w:rsid w:val="00543C28"/>
    <w:rsid w:val="00545F8B"/>
    <w:rsid w:val="00546207"/>
    <w:rsid w:val="00551A90"/>
    <w:rsid w:val="00551B6C"/>
    <w:rsid w:val="00552D5B"/>
    <w:rsid w:val="00554FDF"/>
    <w:rsid w:val="005570B8"/>
    <w:rsid w:val="00560DD8"/>
    <w:rsid w:val="00560E8B"/>
    <w:rsid w:val="00561622"/>
    <w:rsid w:val="00562E7B"/>
    <w:rsid w:val="00564C17"/>
    <w:rsid w:val="005653A6"/>
    <w:rsid w:val="00570F9F"/>
    <w:rsid w:val="00572FED"/>
    <w:rsid w:val="00575826"/>
    <w:rsid w:val="0057651E"/>
    <w:rsid w:val="00580259"/>
    <w:rsid w:val="00585550"/>
    <w:rsid w:val="005859B1"/>
    <w:rsid w:val="005865B2"/>
    <w:rsid w:val="005867E7"/>
    <w:rsid w:val="005876E8"/>
    <w:rsid w:val="00591484"/>
    <w:rsid w:val="00591806"/>
    <w:rsid w:val="0059433B"/>
    <w:rsid w:val="00595164"/>
    <w:rsid w:val="005966CB"/>
    <w:rsid w:val="0059672A"/>
    <w:rsid w:val="00597131"/>
    <w:rsid w:val="005A2EE4"/>
    <w:rsid w:val="005A729A"/>
    <w:rsid w:val="005A786C"/>
    <w:rsid w:val="005B0504"/>
    <w:rsid w:val="005B178C"/>
    <w:rsid w:val="005B442F"/>
    <w:rsid w:val="005B5E37"/>
    <w:rsid w:val="005B7482"/>
    <w:rsid w:val="005B7DA7"/>
    <w:rsid w:val="005C0F6B"/>
    <w:rsid w:val="005C0FB2"/>
    <w:rsid w:val="005D085D"/>
    <w:rsid w:val="005D12FA"/>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9E9"/>
    <w:rsid w:val="005F5CBE"/>
    <w:rsid w:val="005F5D32"/>
    <w:rsid w:val="005F7297"/>
    <w:rsid w:val="006018CF"/>
    <w:rsid w:val="00603192"/>
    <w:rsid w:val="0060347E"/>
    <w:rsid w:val="006048F0"/>
    <w:rsid w:val="0060517B"/>
    <w:rsid w:val="00605355"/>
    <w:rsid w:val="006057C8"/>
    <w:rsid w:val="00605D76"/>
    <w:rsid w:val="00606756"/>
    <w:rsid w:val="00607A07"/>
    <w:rsid w:val="006142A7"/>
    <w:rsid w:val="006148E1"/>
    <w:rsid w:val="00620497"/>
    <w:rsid w:val="006218DC"/>
    <w:rsid w:val="00621E21"/>
    <w:rsid w:val="006229D7"/>
    <w:rsid w:val="00625FA2"/>
    <w:rsid w:val="00626699"/>
    <w:rsid w:val="006329D8"/>
    <w:rsid w:val="00632B49"/>
    <w:rsid w:val="0063437B"/>
    <w:rsid w:val="006355E4"/>
    <w:rsid w:val="0063579E"/>
    <w:rsid w:val="0063657B"/>
    <w:rsid w:val="00637C2E"/>
    <w:rsid w:val="00646533"/>
    <w:rsid w:val="00650320"/>
    <w:rsid w:val="00651925"/>
    <w:rsid w:val="006529D1"/>
    <w:rsid w:val="006539F3"/>
    <w:rsid w:val="00653A11"/>
    <w:rsid w:val="00653A34"/>
    <w:rsid w:val="00653EB9"/>
    <w:rsid w:val="00654918"/>
    <w:rsid w:val="00661CF8"/>
    <w:rsid w:val="006620EF"/>
    <w:rsid w:val="006668C3"/>
    <w:rsid w:val="00666E8D"/>
    <w:rsid w:val="00672D0A"/>
    <w:rsid w:val="00672D8A"/>
    <w:rsid w:val="006744C9"/>
    <w:rsid w:val="00681D15"/>
    <w:rsid w:val="00682E7A"/>
    <w:rsid w:val="006841B9"/>
    <w:rsid w:val="006876FC"/>
    <w:rsid w:val="006918E0"/>
    <w:rsid w:val="0069231B"/>
    <w:rsid w:val="00695128"/>
    <w:rsid w:val="00695919"/>
    <w:rsid w:val="00695DF8"/>
    <w:rsid w:val="00697152"/>
    <w:rsid w:val="006A0B61"/>
    <w:rsid w:val="006A1307"/>
    <w:rsid w:val="006A30B6"/>
    <w:rsid w:val="006A6A45"/>
    <w:rsid w:val="006A748A"/>
    <w:rsid w:val="006B2FB0"/>
    <w:rsid w:val="006B3275"/>
    <w:rsid w:val="006B368F"/>
    <w:rsid w:val="006B4300"/>
    <w:rsid w:val="006B685B"/>
    <w:rsid w:val="006C2F28"/>
    <w:rsid w:val="006C437A"/>
    <w:rsid w:val="006C6194"/>
    <w:rsid w:val="006C756F"/>
    <w:rsid w:val="006C7F77"/>
    <w:rsid w:val="006D03F3"/>
    <w:rsid w:val="006D05DF"/>
    <w:rsid w:val="006D0DE4"/>
    <w:rsid w:val="006D300E"/>
    <w:rsid w:val="006D7356"/>
    <w:rsid w:val="006D7607"/>
    <w:rsid w:val="006E1A57"/>
    <w:rsid w:val="006E2889"/>
    <w:rsid w:val="006E6763"/>
    <w:rsid w:val="006F13C3"/>
    <w:rsid w:val="006F1515"/>
    <w:rsid w:val="006F1F6D"/>
    <w:rsid w:val="006F2CEE"/>
    <w:rsid w:val="006F3DAD"/>
    <w:rsid w:val="006F7666"/>
    <w:rsid w:val="006F7B2B"/>
    <w:rsid w:val="007020E3"/>
    <w:rsid w:val="0071178F"/>
    <w:rsid w:val="00712802"/>
    <w:rsid w:val="00712AE3"/>
    <w:rsid w:val="00712BD9"/>
    <w:rsid w:val="007138E7"/>
    <w:rsid w:val="007210FD"/>
    <w:rsid w:val="00721796"/>
    <w:rsid w:val="00721CA5"/>
    <w:rsid w:val="00723D06"/>
    <w:rsid w:val="007240AC"/>
    <w:rsid w:val="0072482F"/>
    <w:rsid w:val="00725AE9"/>
    <w:rsid w:val="00725B58"/>
    <w:rsid w:val="00725DAB"/>
    <w:rsid w:val="00730396"/>
    <w:rsid w:val="00731C86"/>
    <w:rsid w:val="00731FD6"/>
    <w:rsid w:val="00733260"/>
    <w:rsid w:val="00733E55"/>
    <w:rsid w:val="007356CB"/>
    <w:rsid w:val="0074092D"/>
    <w:rsid w:val="00740F10"/>
    <w:rsid w:val="007418F4"/>
    <w:rsid w:val="00741BA5"/>
    <w:rsid w:val="00741E0A"/>
    <w:rsid w:val="0074215B"/>
    <w:rsid w:val="007425C8"/>
    <w:rsid w:val="007438FA"/>
    <w:rsid w:val="0074499A"/>
    <w:rsid w:val="00747233"/>
    <w:rsid w:val="00750558"/>
    <w:rsid w:val="00761451"/>
    <w:rsid w:val="007617EE"/>
    <w:rsid w:val="00762AA1"/>
    <w:rsid w:val="007648B8"/>
    <w:rsid w:val="00764F59"/>
    <w:rsid w:val="00775A31"/>
    <w:rsid w:val="00776492"/>
    <w:rsid w:val="00777ABB"/>
    <w:rsid w:val="00777B07"/>
    <w:rsid w:val="00782662"/>
    <w:rsid w:val="007833A0"/>
    <w:rsid w:val="0078367B"/>
    <w:rsid w:val="00783849"/>
    <w:rsid w:val="00784893"/>
    <w:rsid w:val="0078560E"/>
    <w:rsid w:val="0078779E"/>
    <w:rsid w:val="00790ABE"/>
    <w:rsid w:val="00791BEC"/>
    <w:rsid w:val="0079261B"/>
    <w:rsid w:val="007930E7"/>
    <w:rsid w:val="007950B8"/>
    <w:rsid w:val="007A2148"/>
    <w:rsid w:val="007A260E"/>
    <w:rsid w:val="007A40E1"/>
    <w:rsid w:val="007A6DAB"/>
    <w:rsid w:val="007B0737"/>
    <w:rsid w:val="007B1D9A"/>
    <w:rsid w:val="007C1CFC"/>
    <w:rsid w:val="007C2B1D"/>
    <w:rsid w:val="007C74D0"/>
    <w:rsid w:val="007D0AE5"/>
    <w:rsid w:val="007D1361"/>
    <w:rsid w:val="007D64DB"/>
    <w:rsid w:val="007D6C29"/>
    <w:rsid w:val="007E3662"/>
    <w:rsid w:val="007E4667"/>
    <w:rsid w:val="007F0745"/>
    <w:rsid w:val="00801F43"/>
    <w:rsid w:val="008022D8"/>
    <w:rsid w:val="008030E3"/>
    <w:rsid w:val="00804F87"/>
    <w:rsid w:val="00810ACF"/>
    <w:rsid w:val="00813215"/>
    <w:rsid w:val="008144BF"/>
    <w:rsid w:val="00820FC5"/>
    <w:rsid w:val="00823650"/>
    <w:rsid w:val="00824104"/>
    <w:rsid w:val="00830AE5"/>
    <w:rsid w:val="00830F40"/>
    <w:rsid w:val="008311E6"/>
    <w:rsid w:val="008335A7"/>
    <w:rsid w:val="008339ED"/>
    <w:rsid w:val="00837827"/>
    <w:rsid w:val="00841652"/>
    <w:rsid w:val="00846D0E"/>
    <w:rsid w:val="00846F12"/>
    <w:rsid w:val="00851711"/>
    <w:rsid w:val="00851E29"/>
    <w:rsid w:val="00855A7A"/>
    <w:rsid w:val="008576AC"/>
    <w:rsid w:val="0085789B"/>
    <w:rsid w:val="008607C4"/>
    <w:rsid w:val="00863321"/>
    <w:rsid w:val="00870758"/>
    <w:rsid w:val="00876C32"/>
    <w:rsid w:val="00883482"/>
    <w:rsid w:val="00891BD6"/>
    <w:rsid w:val="00894DB6"/>
    <w:rsid w:val="00896CA2"/>
    <w:rsid w:val="008A094D"/>
    <w:rsid w:val="008A2D96"/>
    <w:rsid w:val="008A3CA7"/>
    <w:rsid w:val="008A5B67"/>
    <w:rsid w:val="008A643A"/>
    <w:rsid w:val="008A6FAB"/>
    <w:rsid w:val="008B0A45"/>
    <w:rsid w:val="008B2F32"/>
    <w:rsid w:val="008B3A6A"/>
    <w:rsid w:val="008B43E1"/>
    <w:rsid w:val="008C10AE"/>
    <w:rsid w:val="008C44BD"/>
    <w:rsid w:val="008C4762"/>
    <w:rsid w:val="008C5BDB"/>
    <w:rsid w:val="008C633B"/>
    <w:rsid w:val="008D14A4"/>
    <w:rsid w:val="008D20EE"/>
    <w:rsid w:val="008D2143"/>
    <w:rsid w:val="008D3516"/>
    <w:rsid w:val="008D4454"/>
    <w:rsid w:val="008D50D1"/>
    <w:rsid w:val="008D514E"/>
    <w:rsid w:val="008D5FE3"/>
    <w:rsid w:val="008D777B"/>
    <w:rsid w:val="008E019D"/>
    <w:rsid w:val="008E2327"/>
    <w:rsid w:val="008E4C58"/>
    <w:rsid w:val="008E7AD0"/>
    <w:rsid w:val="008F0CC3"/>
    <w:rsid w:val="008F4E13"/>
    <w:rsid w:val="008F53A2"/>
    <w:rsid w:val="008F6135"/>
    <w:rsid w:val="008F725D"/>
    <w:rsid w:val="008F7B76"/>
    <w:rsid w:val="00902852"/>
    <w:rsid w:val="00902B60"/>
    <w:rsid w:val="00905172"/>
    <w:rsid w:val="009071EC"/>
    <w:rsid w:val="00907921"/>
    <w:rsid w:val="00907D56"/>
    <w:rsid w:val="0091058D"/>
    <w:rsid w:val="00911FAC"/>
    <w:rsid w:val="009121C9"/>
    <w:rsid w:val="0091436D"/>
    <w:rsid w:val="009206D7"/>
    <w:rsid w:val="00920940"/>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0BC2"/>
    <w:rsid w:val="00963DE4"/>
    <w:rsid w:val="00965180"/>
    <w:rsid w:val="00967DD1"/>
    <w:rsid w:val="009718CC"/>
    <w:rsid w:val="00971966"/>
    <w:rsid w:val="00974931"/>
    <w:rsid w:val="009759FD"/>
    <w:rsid w:val="009931BE"/>
    <w:rsid w:val="00994D6C"/>
    <w:rsid w:val="00995804"/>
    <w:rsid w:val="00995EC3"/>
    <w:rsid w:val="009963B0"/>
    <w:rsid w:val="00997F97"/>
    <w:rsid w:val="009A042F"/>
    <w:rsid w:val="009A5855"/>
    <w:rsid w:val="009B2899"/>
    <w:rsid w:val="009B3032"/>
    <w:rsid w:val="009B6F0C"/>
    <w:rsid w:val="009C03FD"/>
    <w:rsid w:val="009C425B"/>
    <w:rsid w:val="009C5768"/>
    <w:rsid w:val="009D3F45"/>
    <w:rsid w:val="009D736B"/>
    <w:rsid w:val="009E05E4"/>
    <w:rsid w:val="009E06D9"/>
    <w:rsid w:val="009E19EE"/>
    <w:rsid w:val="009E4512"/>
    <w:rsid w:val="009E454E"/>
    <w:rsid w:val="009E4A0B"/>
    <w:rsid w:val="009E6E35"/>
    <w:rsid w:val="009E6EA9"/>
    <w:rsid w:val="009F1091"/>
    <w:rsid w:val="009F4026"/>
    <w:rsid w:val="009F5385"/>
    <w:rsid w:val="009F6AED"/>
    <w:rsid w:val="009F7555"/>
    <w:rsid w:val="009F7F22"/>
    <w:rsid w:val="00A01F37"/>
    <w:rsid w:val="00A037BA"/>
    <w:rsid w:val="00A0518F"/>
    <w:rsid w:val="00A05F2F"/>
    <w:rsid w:val="00A063BB"/>
    <w:rsid w:val="00A07F09"/>
    <w:rsid w:val="00A14F45"/>
    <w:rsid w:val="00A20274"/>
    <w:rsid w:val="00A21E0D"/>
    <w:rsid w:val="00A22747"/>
    <w:rsid w:val="00A31157"/>
    <w:rsid w:val="00A319F1"/>
    <w:rsid w:val="00A32CF2"/>
    <w:rsid w:val="00A32F8F"/>
    <w:rsid w:val="00A34613"/>
    <w:rsid w:val="00A352F7"/>
    <w:rsid w:val="00A36527"/>
    <w:rsid w:val="00A36B78"/>
    <w:rsid w:val="00A37CC7"/>
    <w:rsid w:val="00A40ED7"/>
    <w:rsid w:val="00A42ACD"/>
    <w:rsid w:val="00A4508D"/>
    <w:rsid w:val="00A462F9"/>
    <w:rsid w:val="00A47DB4"/>
    <w:rsid w:val="00A51FCC"/>
    <w:rsid w:val="00A539FE"/>
    <w:rsid w:val="00A54C37"/>
    <w:rsid w:val="00A57277"/>
    <w:rsid w:val="00A610D6"/>
    <w:rsid w:val="00A65793"/>
    <w:rsid w:val="00A664A9"/>
    <w:rsid w:val="00A7396B"/>
    <w:rsid w:val="00A75C17"/>
    <w:rsid w:val="00A76CDE"/>
    <w:rsid w:val="00A7787C"/>
    <w:rsid w:val="00A8106A"/>
    <w:rsid w:val="00A815E6"/>
    <w:rsid w:val="00A82FE8"/>
    <w:rsid w:val="00A84A35"/>
    <w:rsid w:val="00A84F33"/>
    <w:rsid w:val="00A8577F"/>
    <w:rsid w:val="00A859D7"/>
    <w:rsid w:val="00A85AED"/>
    <w:rsid w:val="00A85E6B"/>
    <w:rsid w:val="00A86A3A"/>
    <w:rsid w:val="00A87040"/>
    <w:rsid w:val="00A907F5"/>
    <w:rsid w:val="00A917EF"/>
    <w:rsid w:val="00A9315D"/>
    <w:rsid w:val="00A93213"/>
    <w:rsid w:val="00A94C23"/>
    <w:rsid w:val="00AA0400"/>
    <w:rsid w:val="00AA1C4A"/>
    <w:rsid w:val="00AA2503"/>
    <w:rsid w:val="00AA3A5F"/>
    <w:rsid w:val="00AA524E"/>
    <w:rsid w:val="00AA528E"/>
    <w:rsid w:val="00AA6B32"/>
    <w:rsid w:val="00AA7E73"/>
    <w:rsid w:val="00AB01DA"/>
    <w:rsid w:val="00AB2378"/>
    <w:rsid w:val="00AB47A5"/>
    <w:rsid w:val="00AB6365"/>
    <w:rsid w:val="00AC3C1D"/>
    <w:rsid w:val="00AC3C99"/>
    <w:rsid w:val="00AC4D7B"/>
    <w:rsid w:val="00AC5D86"/>
    <w:rsid w:val="00AC67BE"/>
    <w:rsid w:val="00AC6D26"/>
    <w:rsid w:val="00AC7A40"/>
    <w:rsid w:val="00AD1CD8"/>
    <w:rsid w:val="00AD2EFE"/>
    <w:rsid w:val="00AD458F"/>
    <w:rsid w:val="00AD464E"/>
    <w:rsid w:val="00AD48B5"/>
    <w:rsid w:val="00AD4E5C"/>
    <w:rsid w:val="00AD55A2"/>
    <w:rsid w:val="00AD5AC5"/>
    <w:rsid w:val="00AD67FA"/>
    <w:rsid w:val="00AD6F14"/>
    <w:rsid w:val="00AD75F5"/>
    <w:rsid w:val="00AE2086"/>
    <w:rsid w:val="00AE2480"/>
    <w:rsid w:val="00AE37C0"/>
    <w:rsid w:val="00AE42F8"/>
    <w:rsid w:val="00AE4D22"/>
    <w:rsid w:val="00AE5785"/>
    <w:rsid w:val="00AE7801"/>
    <w:rsid w:val="00AE7E6B"/>
    <w:rsid w:val="00AF1122"/>
    <w:rsid w:val="00AF12AE"/>
    <w:rsid w:val="00AF23E3"/>
    <w:rsid w:val="00AF4DB6"/>
    <w:rsid w:val="00B005DA"/>
    <w:rsid w:val="00B0087D"/>
    <w:rsid w:val="00B01948"/>
    <w:rsid w:val="00B04329"/>
    <w:rsid w:val="00B04698"/>
    <w:rsid w:val="00B0661D"/>
    <w:rsid w:val="00B067D3"/>
    <w:rsid w:val="00B06B81"/>
    <w:rsid w:val="00B11B63"/>
    <w:rsid w:val="00B12165"/>
    <w:rsid w:val="00B206AB"/>
    <w:rsid w:val="00B21A07"/>
    <w:rsid w:val="00B21B0D"/>
    <w:rsid w:val="00B3437D"/>
    <w:rsid w:val="00B34673"/>
    <w:rsid w:val="00B34704"/>
    <w:rsid w:val="00B3509A"/>
    <w:rsid w:val="00B36CA6"/>
    <w:rsid w:val="00B373FD"/>
    <w:rsid w:val="00B5181C"/>
    <w:rsid w:val="00B568DA"/>
    <w:rsid w:val="00B56E21"/>
    <w:rsid w:val="00B57D76"/>
    <w:rsid w:val="00B60B2C"/>
    <w:rsid w:val="00B637F8"/>
    <w:rsid w:val="00B63805"/>
    <w:rsid w:val="00B63E86"/>
    <w:rsid w:val="00B65033"/>
    <w:rsid w:val="00B6523B"/>
    <w:rsid w:val="00B75DA9"/>
    <w:rsid w:val="00B81C4C"/>
    <w:rsid w:val="00B836D7"/>
    <w:rsid w:val="00B876C9"/>
    <w:rsid w:val="00B90B47"/>
    <w:rsid w:val="00B927B9"/>
    <w:rsid w:val="00B94B23"/>
    <w:rsid w:val="00B94F27"/>
    <w:rsid w:val="00B95CA3"/>
    <w:rsid w:val="00B9662E"/>
    <w:rsid w:val="00B9772E"/>
    <w:rsid w:val="00BA4B4C"/>
    <w:rsid w:val="00BB0347"/>
    <w:rsid w:val="00BB6DB1"/>
    <w:rsid w:val="00BC0793"/>
    <w:rsid w:val="00BC0F8A"/>
    <w:rsid w:val="00BC293E"/>
    <w:rsid w:val="00BC5533"/>
    <w:rsid w:val="00BC617F"/>
    <w:rsid w:val="00BC6904"/>
    <w:rsid w:val="00BC7C3E"/>
    <w:rsid w:val="00BD0DC9"/>
    <w:rsid w:val="00BD1AA4"/>
    <w:rsid w:val="00BD2032"/>
    <w:rsid w:val="00BD6045"/>
    <w:rsid w:val="00BD729C"/>
    <w:rsid w:val="00BE1861"/>
    <w:rsid w:val="00BE1F3D"/>
    <w:rsid w:val="00BE417B"/>
    <w:rsid w:val="00BE41AC"/>
    <w:rsid w:val="00BE47E2"/>
    <w:rsid w:val="00BE695A"/>
    <w:rsid w:val="00BE6B7A"/>
    <w:rsid w:val="00BF0197"/>
    <w:rsid w:val="00BF16D0"/>
    <w:rsid w:val="00BF378B"/>
    <w:rsid w:val="00BF3AAA"/>
    <w:rsid w:val="00BF49A1"/>
    <w:rsid w:val="00BF5F06"/>
    <w:rsid w:val="00C001C3"/>
    <w:rsid w:val="00C03ABA"/>
    <w:rsid w:val="00C03EED"/>
    <w:rsid w:val="00C04458"/>
    <w:rsid w:val="00C050C8"/>
    <w:rsid w:val="00C10178"/>
    <w:rsid w:val="00C1126D"/>
    <w:rsid w:val="00C117BA"/>
    <w:rsid w:val="00C11E39"/>
    <w:rsid w:val="00C31469"/>
    <w:rsid w:val="00C31F64"/>
    <w:rsid w:val="00C3387B"/>
    <w:rsid w:val="00C34AB7"/>
    <w:rsid w:val="00C372E8"/>
    <w:rsid w:val="00C409FD"/>
    <w:rsid w:val="00C40BC4"/>
    <w:rsid w:val="00C41683"/>
    <w:rsid w:val="00C436F7"/>
    <w:rsid w:val="00C43C3B"/>
    <w:rsid w:val="00C43E51"/>
    <w:rsid w:val="00C46829"/>
    <w:rsid w:val="00C5155E"/>
    <w:rsid w:val="00C51B11"/>
    <w:rsid w:val="00C522BF"/>
    <w:rsid w:val="00C54D4A"/>
    <w:rsid w:val="00C55D78"/>
    <w:rsid w:val="00C624D3"/>
    <w:rsid w:val="00C63714"/>
    <w:rsid w:val="00C637FF"/>
    <w:rsid w:val="00C6563F"/>
    <w:rsid w:val="00C66185"/>
    <w:rsid w:val="00C66F66"/>
    <w:rsid w:val="00C70905"/>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56B4"/>
    <w:rsid w:val="00CA64A3"/>
    <w:rsid w:val="00CA7013"/>
    <w:rsid w:val="00CA7A6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D6E0C"/>
    <w:rsid w:val="00CE0394"/>
    <w:rsid w:val="00CE07EC"/>
    <w:rsid w:val="00CE3D5F"/>
    <w:rsid w:val="00CE7156"/>
    <w:rsid w:val="00CE7E29"/>
    <w:rsid w:val="00CF03D9"/>
    <w:rsid w:val="00CF1A33"/>
    <w:rsid w:val="00CF1E8F"/>
    <w:rsid w:val="00CF345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30CC"/>
    <w:rsid w:val="00D33772"/>
    <w:rsid w:val="00D41CD2"/>
    <w:rsid w:val="00D41DC3"/>
    <w:rsid w:val="00D44F27"/>
    <w:rsid w:val="00D46C72"/>
    <w:rsid w:val="00D52234"/>
    <w:rsid w:val="00D537FC"/>
    <w:rsid w:val="00D600D2"/>
    <w:rsid w:val="00D606F0"/>
    <w:rsid w:val="00D61185"/>
    <w:rsid w:val="00D63A50"/>
    <w:rsid w:val="00D66C60"/>
    <w:rsid w:val="00D721C4"/>
    <w:rsid w:val="00D759D7"/>
    <w:rsid w:val="00D7735F"/>
    <w:rsid w:val="00D80037"/>
    <w:rsid w:val="00D86025"/>
    <w:rsid w:val="00D86289"/>
    <w:rsid w:val="00D901DE"/>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4C2A"/>
    <w:rsid w:val="00DB562F"/>
    <w:rsid w:val="00DC0DCD"/>
    <w:rsid w:val="00DC6714"/>
    <w:rsid w:val="00DD311C"/>
    <w:rsid w:val="00DD379F"/>
    <w:rsid w:val="00DE0067"/>
    <w:rsid w:val="00DE2AF7"/>
    <w:rsid w:val="00DE357A"/>
    <w:rsid w:val="00DE4FCF"/>
    <w:rsid w:val="00DE5278"/>
    <w:rsid w:val="00DE71C9"/>
    <w:rsid w:val="00DF31FC"/>
    <w:rsid w:val="00DF6742"/>
    <w:rsid w:val="00E0259D"/>
    <w:rsid w:val="00E038ED"/>
    <w:rsid w:val="00E061D4"/>
    <w:rsid w:val="00E06A2A"/>
    <w:rsid w:val="00E100F8"/>
    <w:rsid w:val="00E13AA7"/>
    <w:rsid w:val="00E14783"/>
    <w:rsid w:val="00E20D51"/>
    <w:rsid w:val="00E2189A"/>
    <w:rsid w:val="00E23612"/>
    <w:rsid w:val="00E26463"/>
    <w:rsid w:val="00E3402E"/>
    <w:rsid w:val="00E37419"/>
    <w:rsid w:val="00E40BE0"/>
    <w:rsid w:val="00E42446"/>
    <w:rsid w:val="00E42D2B"/>
    <w:rsid w:val="00E43B08"/>
    <w:rsid w:val="00E44A73"/>
    <w:rsid w:val="00E44D49"/>
    <w:rsid w:val="00E4771D"/>
    <w:rsid w:val="00E47A22"/>
    <w:rsid w:val="00E5257D"/>
    <w:rsid w:val="00E53627"/>
    <w:rsid w:val="00E56265"/>
    <w:rsid w:val="00E60832"/>
    <w:rsid w:val="00E609A0"/>
    <w:rsid w:val="00E61053"/>
    <w:rsid w:val="00E65E7E"/>
    <w:rsid w:val="00E664A6"/>
    <w:rsid w:val="00E67799"/>
    <w:rsid w:val="00E70F08"/>
    <w:rsid w:val="00E711CC"/>
    <w:rsid w:val="00E71C44"/>
    <w:rsid w:val="00E73C2D"/>
    <w:rsid w:val="00E81FA0"/>
    <w:rsid w:val="00E84391"/>
    <w:rsid w:val="00E86823"/>
    <w:rsid w:val="00E87D2A"/>
    <w:rsid w:val="00E90408"/>
    <w:rsid w:val="00E90EB0"/>
    <w:rsid w:val="00E913FA"/>
    <w:rsid w:val="00E9395D"/>
    <w:rsid w:val="00E9486A"/>
    <w:rsid w:val="00E94C6C"/>
    <w:rsid w:val="00E95798"/>
    <w:rsid w:val="00EA10EC"/>
    <w:rsid w:val="00EA2369"/>
    <w:rsid w:val="00EA5FFB"/>
    <w:rsid w:val="00EA79D9"/>
    <w:rsid w:val="00EB03F2"/>
    <w:rsid w:val="00EB100F"/>
    <w:rsid w:val="00EB1FAB"/>
    <w:rsid w:val="00EB25FA"/>
    <w:rsid w:val="00EB2AB1"/>
    <w:rsid w:val="00EB3A35"/>
    <w:rsid w:val="00EB401E"/>
    <w:rsid w:val="00EB5892"/>
    <w:rsid w:val="00EB6530"/>
    <w:rsid w:val="00EC0760"/>
    <w:rsid w:val="00EC19D4"/>
    <w:rsid w:val="00EC275B"/>
    <w:rsid w:val="00EC2861"/>
    <w:rsid w:val="00EC2DAF"/>
    <w:rsid w:val="00EC36D3"/>
    <w:rsid w:val="00EC3FCE"/>
    <w:rsid w:val="00EC61EB"/>
    <w:rsid w:val="00ED0C5F"/>
    <w:rsid w:val="00ED55A9"/>
    <w:rsid w:val="00ED67D4"/>
    <w:rsid w:val="00ED6D17"/>
    <w:rsid w:val="00EE4A69"/>
    <w:rsid w:val="00EE60A3"/>
    <w:rsid w:val="00EE643A"/>
    <w:rsid w:val="00EE6A4F"/>
    <w:rsid w:val="00EF0C67"/>
    <w:rsid w:val="00EF3C5C"/>
    <w:rsid w:val="00EF49B9"/>
    <w:rsid w:val="00EF5DB7"/>
    <w:rsid w:val="00F0150C"/>
    <w:rsid w:val="00F0170A"/>
    <w:rsid w:val="00F02D02"/>
    <w:rsid w:val="00F049C9"/>
    <w:rsid w:val="00F060F6"/>
    <w:rsid w:val="00F1082D"/>
    <w:rsid w:val="00F15731"/>
    <w:rsid w:val="00F212C9"/>
    <w:rsid w:val="00F233EE"/>
    <w:rsid w:val="00F24B2E"/>
    <w:rsid w:val="00F24F9A"/>
    <w:rsid w:val="00F27EC6"/>
    <w:rsid w:val="00F3187D"/>
    <w:rsid w:val="00F31886"/>
    <w:rsid w:val="00F31C31"/>
    <w:rsid w:val="00F32258"/>
    <w:rsid w:val="00F323E1"/>
    <w:rsid w:val="00F33144"/>
    <w:rsid w:val="00F34BCD"/>
    <w:rsid w:val="00F358A0"/>
    <w:rsid w:val="00F35BDB"/>
    <w:rsid w:val="00F373EC"/>
    <w:rsid w:val="00F4027F"/>
    <w:rsid w:val="00F403E5"/>
    <w:rsid w:val="00F4215C"/>
    <w:rsid w:val="00F436F0"/>
    <w:rsid w:val="00F46688"/>
    <w:rsid w:val="00F46CA3"/>
    <w:rsid w:val="00F474F9"/>
    <w:rsid w:val="00F50B48"/>
    <w:rsid w:val="00F51522"/>
    <w:rsid w:val="00F52284"/>
    <w:rsid w:val="00F54608"/>
    <w:rsid w:val="00F6108D"/>
    <w:rsid w:val="00F64686"/>
    <w:rsid w:val="00F7490C"/>
    <w:rsid w:val="00F74AE5"/>
    <w:rsid w:val="00F772B8"/>
    <w:rsid w:val="00F77D52"/>
    <w:rsid w:val="00F80195"/>
    <w:rsid w:val="00F8024C"/>
    <w:rsid w:val="00F83CED"/>
    <w:rsid w:val="00F857CF"/>
    <w:rsid w:val="00F9059C"/>
    <w:rsid w:val="00F90C76"/>
    <w:rsid w:val="00F92A01"/>
    <w:rsid w:val="00F94EAA"/>
    <w:rsid w:val="00F95125"/>
    <w:rsid w:val="00F953B3"/>
    <w:rsid w:val="00F967CF"/>
    <w:rsid w:val="00FA4061"/>
    <w:rsid w:val="00FA5681"/>
    <w:rsid w:val="00FA7684"/>
    <w:rsid w:val="00FA7C38"/>
    <w:rsid w:val="00FB0498"/>
    <w:rsid w:val="00FB2A86"/>
    <w:rsid w:val="00FB5AEA"/>
    <w:rsid w:val="00FB7AA1"/>
    <w:rsid w:val="00FB7EDA"/>
    <w:rsid w:val="00FD1F11"/>
    <w:rsid w:val="00FD52B0"/>
    <w:rsid w:val="00FD60D9"/>
    <w:rsid w:val="00FD7958"/>
    <w:rsid w:val="00FE184F"/>
    <w:rsid w:val="00FE2F78"/>
    <w:rsid w:val="00FE6E02"/>
    <w:rsid w:val="00FF281F"/>
    <w:rsid w:val="00FF3871"/>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62D54"/>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6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907B8-A597-48A0-98F1-7956AAE2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10</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14480</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79</cp:revision>
  <cp:lastPrinted>2024-11-08T07:12:00Z</cp:lastPrinted>
  <dcterms:created xsi:type="dcterms:W3CDTF">2024-02-02T01:13:00Z</dcterms:created>
  <dcterms:modified xsi:type="dcterms:W3CDTF">2025-09-22T07:24:00Z</dcterms:modified>
</cp:coreProperties>
</file>