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379"/>
      </w:tblGrid>
      <w:tr w:rsidR="00BB08D9" w:rsidTr="00D43D09">
        <w:trPr>
          <w:jc w:val="center"/>
        </w:trPr>
        <w:tc>
          <w:tcPr>
            <w:tcW w:w="3510" w:type="dxa"/>
          </w:tcPr>
          <w:p w:rsidR="002E6B79" w:rsidRPr="002E6B79" w:rsidRDefault="002E6B79" w:rsidP="00BB08D9">
            <w:pPr>
              <w:jc w:val="center"/>
              <w:rPr>
                <w:b/>
                <w:sz w:val="26"/>
              </w:rPr>
            </w:pPr>
            <w:r w:rsidRPr="002E6B79">
              <w:rPr>
                <w:b/>
                <w:sz w:val="26"/>
              </w:rPr>
              <w:t>ỦY BAN NHÂN DÂN</w:t>
            </w:r>
          </w:p>
          <w:p w:rsidR="00BB08D9" w:rsidRPr="002E6B79" w:rsidRDefault="002E6B79" w:rsidP="00BB08D9">
            <w:pPr>
              <w:jc w:val="center"/>
              <w:rPr>
                <w:b/>
                <w:sz w:val="26"/>
              </w:rPr>
            </w:pPr>
            <w:r w:rsidRPr="002E6B79">
              <w:rPr>
                <w:b/>
                <w:sz w:val="26"/>
              </w:rPr>
              <w:t>TỈNH ĐỒNG NAI</w:t>
            </w:r>
          </w:p>
          <w:p w:rsidR="002E6B79" w:rsidRPr="002E6B79" w:rsidRDefault="002E6B79" w:rsidP="00BB08D9">
            <w:pPr>
              <w:jc w:val="center"/>
              <w:rPr>
                <w:b/>
                <w:sz w:val="26"/>
              </w:rPr>
            </w:pPr>
            <w:r>
              <w:rPr>
                <w:b/>
                <w:noProof/>
                <w:sz w:val="26"/>
              </w:rPr>
              <mc:AlternateContent>
                <mc:Choice Requires="wps">
                  <w:drawing>
                    <wp:anchor distT="0" distB="0" distL="114300" distR="114300" simplePos="0" relativeHeight="251659264" behindDoc="0" locked="0" layoutInCell="1" allowOverlap="1" wp14:anchorId="3BB8AD19" wp14:editId="36D567E2">
                      <wp:simplePos x="0" y="0"/>
                      <wp:positionH relativeFrom="column">
                        <wp:posOffset>808025</wp:posOffset>
                      </wp:positionH>
                      <wp:positionV relativeFrom="paragraph">
                        <wp:posOffset>4445</wp:posOffset>
                      </wp:positionV>
                      <wp:extent cx="4749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474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6pt,.35pt" to="10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" strokecolor="black [3213]"/>
                  </w:pict>
                </mc:Fallback>
              </mc:AlternateContent>
            </w:r>
          </w:p>
        </w:tc>
        <w:tc>
          <w:tcPr>
            <w:tcW w:w="6379" w:type="dxa"/>
          </w:tcPr>
          <w:p w:rsidR="00BB08D9" w:rsidRDefault="002E6B79" w:rsidP="002E6B79">
            <w:pPr>
              <w:jc w:val="center"/>
              <w:rPr>
                <w:b/>
                <w:sz w:val="26"/>
              </w:rPr>
            </w:pPr>
            <w:r>
              <w:rPr>
                <w:b/>
                <w:sz w:val="26"/>
              </w:rPr>
              <w:t>CỘNG HÒA XÃ HỘI CHỦ NGHĨA VIỆT NAM</w:t>
            </w:r>
          </w:p>
          <w:p w:rsidR="002E6B79" w:rsidRPr="002E6B79" w:rsidRDefault="002E6B79" w:rsidP="002E6B79">
            <w:pPr>
              <w:jc w:val="center"/>
              <w:rPr>
                <w:b/>
              </w:rPr>
            </w:pPr>
            <w:r>
              <w:rPr>
                <w:b/>
                <w:noProof/>
              </w:rPr>
              <mc:AlternateContent>
                <mc:Choice Requires="wps">
                  <w:drawing>
                    <wp:anchor distT="0" distB="0" distL="114300" distR="114300" simplePos="0" relativeHeight="251660288" behindDoc="0" locked="0" layoutInCell="1" allowOverlap="1" wp14:anchorId="33FF0DBD" wp14:editId="5ABECDD2">
                      <wp:simplePos x="0" y="0"/>
                      <wp:positionH relativeFrom="column">
                        <wp:posOffset>912495</wp:posOffset>
                      </wp:positionH>
                      <wp:positionV relativeFrom="paragraph">
                        <wp:posOffset>223850</wp:posOffset>
                      </wp:positionV>
                      <wp:extent cx="2070202"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070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85pt,17.65pt" to="234.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" strokecolor="black [3213]"/>
                  </w:pict>
                </mc:Fallback>
              </mc:AlternateContent>
            </w:r>
            <w:r>
              <w:rPr>
                <w:b/>
              </w:rPr>
              <w:t>Độc lập - Tự do - Hạnh phúc</w:t>
            </w:r>
          </w:p>
        </w:tc>
      </w:tr>
      <w:tr w:rsidR="00BB08D9" w:rsidTr="00D43D09">
        <w:trPr>
          <w:trHeight w:val="73"/>
          <w:jc w:val="center"/>
        </w:trPr>
        <w:tc>
          <w:tcPr>
            <w:tcW w:w="3510" w:type="dxa"/>
          </w:tcPr>
          <w:p w:rsidR="00BB08D9" w:rsidRDefault="002E6B79" w:rsidP="002E6B79">
            <w:pPr>
              <w:jc w:val="center"/>
              <w:rPr>
                <w:sz w:val="26"/>
              </w:rPr>
            </w:pPr>
            <w:r w:rsidRPr="002E6B79">
              <w:rPr>
                <w:sz w:val="26"/>
              </w:rPr>
              <w:t xml:space="preserve">Số:      </w:t>
            </w:r>
            <w:r w:rsidR="00D43D09">
              <w:rPr>
                <w:sz w:val="26"/>
              </w:rPr>
              <w:t xml:space="preserve">  </w:t>
            </w:r>
            <w:r w:rsidRPr="002E6B79">
              <w:rPr>
                <w:sz w:val="26"/>
              </w:rPr>
              <w:t xml:space="preserve">   /BC-UBND</w:t>
            </w:r>
          </w:p>
          <w:p w:rsidR="002F64C4" w:rsidRPr="002E6B79" w:rsidRDefault="002F64C4" w:rsidP="002E6B79">
            <w:pPr>
              <w:jc w:val="center"/>
              <w:rPr>
                <w:sz w:val="24"/>
              </w:rPr>
            </w:pPr>
            <w:r>
              <w:rPr>
                <w:sz w:val="26"/>
              </w:rPr>
              <w:t>(DỰ THẢO)</w:t>
            </w:r>
          </w:p>
        </w:tc>
        <w:tc>
          <w:tcPr>
            <w:tcW w:w="6379" w:type="dxa"/>
          </w:tcPr>
          <w:p w:rsidR="00BB08D9" w:rsidRPr="002E6B79" w:rsidRDefault="002E6B79" w:rsidP="002E6B79">
            <w:pPr>
              <w:jc w:val="center"/>
              <w:rPr>
                <w:i/>
                <w:sz w:val="26"/>
              </w:rPr>
            </w:pPr>
            <w:r>
              <w:rPr>
                <w:i/>
                <w:sz w:val="26"/>
              </w:rPr>
              <w:t>Đồng Nai, ngày            tháng          năm 2025</w:t>
            </w:r>
          </w:p>
        </w:tc>
      </w:tr>
    </w:tbl>
    <w:p w:rsidR="00D35586" w:rsidRDefault="00D35586" w:rsidP="00E13DCE">
      <w:pPr>
        <w:jc w:val="center"/>
      </w:pPr>
    </w:p>
    <w:p w:rsidR="002E6B79" w:rsidRPr="002F64C4" w:rsidRDefault="002E6B79" w:rsidP="00E13DCE">
      <w:pPr>
        <w:jc w:val="center"/>
        <w:rPr>
          <w:b/>
        </w:rPr>
      </w:pPr>
      <w:r w:rsidRPr="002F64C4">
        <w:rPr>
          <w:b/>
        </w:rPr>
        <w:t>BÁO CÁO</w:t>
      </w:r>
    </w:p>
    <w:p w:rsidR="00D41D2B" w:rsidRDefault="002E6B79" w:rsidP="00E13DCE">
      <w:pPr>
        <w:jc w:val="center"/>
        <w:rPr>
          <w:b/>
        </w:rPr>
      </w:pPr>
      <w:r w:rsidRPr="002F64C4">
        <w:rPr>
          <w:b/>
        </w:rPr>
        <w:t xml:space="preserve">Tổng kết việc thi hành </w:t>
      </w:r>
      <w:r w:rsidR="00D41D2B" w:rsidRPr="00D41D2B">
        <w:rPr>
          <w:b/>
        </w:rPr>
        <w:t>Nghị quyết số 07/2021/NQ-HĐND</w:t>
      </w:r>
      <w:r w:rsidR="00D41D2B">
        <w:rPr>
          <w:b/>
        </w:rPr>
        <w:t xml:space="preserve"> </w:t>
      </w:r>
      <w:r w:rsidR="00D41D2B" w:rsidRPr="00D41D2B">
        <w:rPr>
          <w:b/>
        </w:rPr>
        <w:t xml:space="preserve"> ngày 30 tháng 7 năm 2021 của Hội đồng nhân dân tỉnh Đồng Nai</w:t>
      </w:r>
      <w:r w:rsidR="00D41D2B">
        <w:rPr>
          <w:b/>
        </w:rPr>
        <w:t xml:space="preserve"> </w:t>
      </w:r>
      <w:r w:rsidR="00D41D2B" w:rsidRPr="00D41D2B">
        <w:rPr>
          <w:b/>
        </w:rPr>
        <w:t>(trước sắp xếp)</w:t>
      </w:r>
    </w:p>
    <w:p w:rsidR="00D41D2B" w:rsidRDefault="00D41D2B" w:rsidP="00E13DCE">
      <w:pPr>
        <w:jc w:val="center"/>
        <w:rPr>
          <w:b/>
        </w:rPr>
      </w:pPr>
      <w:r w:rsidRPr="00D41D2B">
        <w:rPr>
          <w:b/>
        </w:rPr>
        <w:t>và Nghị quyết số 24/2021/NQ-HĐND ngày 07 tháng 12 năm 2021</w:t>
      </w:r>
    </w:p>
    <w:p w:rsidR="002F64C4" w:rsidRDefault="00D41D2B" w:rsidP="00E13DCE">
      <w:pPr>
        <w:jc w:val="center"/>
        <w:rPr>
          <w:b/>
        </w:rPr>
      </w:pPr>
      <w:r w:rsidRPr="00D41D2B">
        <w:rPr>
          <w:b/>
        </w:rPr>
        <w:t>của Hội đồng nhân dân tỉnh Bình Phước</w:t>
      </w:r>
    </w:p>
    <w:p w:rsidR="00D41D2B" w:rsidRDefault="00D41D2B" w:rsidP="00E13DCE">
      <w:pPr>
        <w:jc w:val="center"/>
        <w:rPr>
          <w:b/>
        </w:rPr>
      </w:pPr>
      <w:r>
        <w:rPr>
          <w:b/>
          <w:noProof/>
        </w:rPr>
        <mc:AlternateContent>
          <mc:Choice Requires="wps">
            <w:drawing>
              <wp:anchor distT="0" distB="0" distL="114300" distR="114300" simplePos="0" relativeHeight="251661312" behindDoc="0" locked="0" layoutInCell="1" allowOverlap="1" wp14:anchorId="2B495DD4" wp14:editId="38A15F17">
                <wp:simplePos x="0" y="0"/>
                <wp:positionH relativeFrom="column">
                  <wp:posOffset>2085340</wp:posOffset>
                </wp:positionH>
                <wp:positionV relativeFrom="paragraph">
                  <wp:posOffset>59426</wp:posOffset>
                </wp:positionV>
                <wp:extent cx="1483360"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1483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2pt,4.7pt" to="28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25zgEAAAMEAAAOAAAAZHJzL2Uyb0RvYy54bWysU01vGyEQvVfqf0Dc610nlRW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" strokecolor="black [3213]"/>
            </w:pict>
          </mc:Fallback>
        </mc:AlternateContent>
      </w:r>
    </w:p>
    <w:p w:rsidR="00E13DCE" w:rsidRPr="00E13DCE" w:rsidRDefault="00E13DCE" w:rsidP="00E13DCE">
      <w:pPr>
        <w:jc w:val="center"/>
      </w:pPr>
      <w:r w:rsidRPr="00E13DCE">
        <w:t>Kính gửi: Thường trực Hội đồng nhân dân tỉnh.</w:t>
      </w:r>
    </w:p>
    <w:p w:rsidR="00E13DCE" w:rsidRDefault="00E13DCE" w:rsidP="00E13DCE">
      <w:pPr>
        <w:jc w:val="both"/>
        <w:rPr>
          <w:b/>
        </w:rPr>
      </w:pPr>
    </w:p>
    <w:p w:rsidR="002F64C4" w:rsidRDefault="002F64C4" w:rsidP="00E13DCE">
      <w:pPr>
        <w:spacing w:before="120"/>
        <w:ind w:firstLine="720"/>
        <w:jc w:val="both"/>
      </w:pPr>
      <w:r>
        <w:t xml:space="preserve">Thực hiện quy định của Luật Ban hành văn bản quy phạm pháp luật, Ủy ban nhân dân tỉnh tiến hành tổng kết việc thi hành </w:t>
      </w:r>
      <w:r w:rsidR="00D41D2B">
        <w:t>Nghị quyết số 07/2021/NQ-HĐND  ngày 30 tháng 7 năm 2021 của Hội đồng nhân dân tỉnh Đồng Nai (trước sắp xếp) và Nghị quyết số 24/2021/NQ-HĐND ngày 07 tháng 12 năm 2021 của Hội đồng nhân dân tỉnh Bình Phước</w:t>
      </w:r>
      <w:r>
        <w:t>. Kết quả như sau:</w:t>
      </w:r>
    </w:p>
    <w:p w:rsidR="002F64C4" w:rsidRPr="002F64C4" w:rsidRDefault="002F64C4" w:rsidP="00D43D09">
      <w:pPr>
        <w:spacing w:before="120"/>
        <w:jc w:val="both"/>
        <w:rPr>
          <w:b/>
        </w:rPr>
      </w:pPr>
      <w:r>
        <w:tab/>
      </w:r>
      <w:r w:rsidRPr="002F64C4">
        <w:rPr>
          <w:b/>
        </w:rPr>
        <w:t>I. BỐI CẢNH THỰC HIỆN TỔNG KẾT</w:t>
      </w:r>
    </w:p>
    <w:p w:rsidR="002F64C4" w:rsidRPr="00D43D09" w:rsidRDefault="002F64C4" w:rsidP="00D43D09">
      <w:pPr>
        <w:spacing w:before="120"/>
        <w:jc w:val="both"/>
        <w:rPr>
          <w:b/>
        </w:rPr>
      </w:pPr>
      <w:r>
        <w:tab/>
      </w:r>
      <w:r w:rsidRPr="00D43D09">
        <w:rPr>
          <w:b/>
        </w:rPr>
        <w:t>1. Bối cảnh trong nước</w:t>
      </w:r>
    </w:p>
    <w:p w:rsidR="00227CD5" w:rsidRPr="006805CA" w:rsidRDefault="002F64C4" w:rsidP="00227CD5">
      <w:pPr>
        <w:spacing w:before="120"/>
        <w:jc w:val="both"/>
      </w:pPr>
      <w:r w:rsidRPr="00D43D09">
        <w:rPr>
          <w:color w:val="FF0000"/>
        </w:rPr>
        <w:tab/>
      </w:r>
      <w:r w:rsidR="00227CD5" w:rsidRPr="006805CA">
        <w:t>Trong bối cảnh thực hiện Nghị quyết số 202/2025/QH15 ngày 12 tháng 6 năm 2025 của Quốc hội về việc sắp xếp đơn vị hành chính cấp tỉnh, toàn bộ diện tích tự nhiên và quy mô dân số của tỉnh Đồng Nai và tỉnh Bình Phước đã được hợp nhất thành một đơn vị hành chính mới, lấy tên là tỉnh Đồng Nai. Việc sáp nhập này kéo theo yêu cầu phải rà soát, điều chỉnh và thống nhất hệ thống văn bản quy phạm pháp luật, trong đó có các nghị quyết của Hội đồng nhân dân cấp tỉnh liên quan đến chính sách thu lệ phí trên địa bàn.</w:t>
      </w:r>
    </w:p>
    <w:p w:rsidR="00227CD5" w:rsidRPr="006805CA" w:rsidRDefault="00227CD5" w:rsidP="00227CD5">
      <w:pPr>
        <w:spacing w:before="120"/>
        <w:jc w:val="both"/>
      </w:pPr>
      <w:r w:rsidRPr="006805CA">
        <w:tab/>
        <w:t>Bên cạnh sự thay đổi về địa giới hành chính, căn cứ pháp lý chuyên ngành để ban hành chính sách thu lệ phí cấp giấy phép lao động cho người nước ngoài cũng đã có sự điều chỉnh quan trọng. Cụ thể, Nghị định số 152/2020/NĐ-CP và Nghị định số 70/2023/NĐ-CP là các căn cứ pháp lý chính trướ</w:t>
      </w:r>
      <w:r w:rsidR="003B3C58" w:rsidRPr="006805CA">
        <w:t>c đây</w:t>
      </w:r>
      <w:r w:rsidRPr="006805CA">
        <w:t xml:space="preserve"> đã hết hiệu lực kể từ ngày Nghị định số 219/2025/NĐ-CP ngày 07 tháng 8 năm 2025 của Chính phủ có hiệu lực thi hành. Nghị định mới này đã thay đổi một số nội dung quan trọng liên quan đến quy trình, thẩm quyền, cũng như điều kiện cấp giấy phép lao độ</w:t>
      </w:r>
      <w:r w:rsidR="00FA0D09">
        <w:t>ng.</w:t>
      </w:r>
    </w:p>
    <w:p w:rsidR="002F64C4" w:rsidRPr="006805CA" w:rsidRDefault="00227CD5" w:rsidP="00227CD5">
      <w:pPr>
        <w:spacing w:before="120"/>
        <w:jc w:val="both"/>
      </w:pPr>
      <w:r w:rsidRPr="006805CA">
        <w:tab/>
        <w:t>Trên cơ sở đó, việc tổng kết, đánh giá tình hình thực hiện Nghị quyết số 07/2021/NQ-HĐND của Hội đồng nhân dân tỉnh Đồng Nai</w:t>
      </w:r>
      <w:r w:rsidR="003B3C58" w:rsidRPr="006805CA">
        <w:t xml:space="preserve"> (trước sắp xếp)</w:t>
      </w:r>
      <w:r w:rsidRPr="006805CA">
        <w:t xml:space="preserve"> và Nghị quyết số 24/2021/NQ-HĐND của Hội đồng nhân dân tỉnh Bình Phước là cần thiết nhằm đảm bảo tính thống nhất, đồng bộ trong áp dụng pháp luật trên địa bàn tỉnh mới. Đồng thời, kết quả tổng kết là cơ sở quan trọng để xây dựng Nghị quyết mới thay thế, vừa phù hợp với đơn vị hành chính sau sáp nhập, vừa </w:t>
      </w:r>
      <w:r w:rsidRPr="006805CA">
        <w:lastRenderedPageBreak/>
        <w:t>cập nhật đúng quy định pháp luật hiện hành, đáp ứng yêu cầu cải cách hành chính, chuyển đổi số và tạo điều kiện thuận lợi cho doanh nghiệp, người lao động nước ngoài làm việc tại tỉnh.</w:t>
      </w:r>
    </w:p>
    <w:p w:rsidR="00D43D09" w:rsidRPr="00D43D09" w:rsidRDefault="00D43D09" w:rsidP="00D43D09">
      <w:pPr>
        <w:spacing w:before="120"/>
        <w:ind w:firstLine="709"/>
        <w:jc w:val="both"/>
        <w:rPr>
          <w:b/>
        </w:rPr>
      </w:pPr>
      <w:r w:rsidRPr="00D43D09">
        <w:rPr>
          <w:b/>
        </w:rPr>
        <w:t>II. KẾT QUẢ THỰC HIỆN</w:t>
      </w:r>
    </w:p>
    <w:p w:rsidR="00D43D09" w:rsidRPr="00247151" w:rsidRDefault="00D43D09" w:rsidP="00D43D09">
      <w:pPr>
        <w:spacing w:before="120"/>
        <w:ind w:firstLine="709"/>
        <w:rPr>
          <w:b/>
        </w:rPr>
      </w:pPr>
      <w:r w:rsidRPr="00247151">
        <w:rPr>
          <w:b/>
        </w:rPr>
        <w:t>1. Công tác chỉ đạo, triển khai và tổ chức thi hành văn bản quy phạm pháp luật</w:t>
      </w:r>
    </w:p>
    <w:p w:rsidR="0079006B" w:rsidRDefault="0079006B" w:rsidP="0079006B">
      <w:pPr>
        <w:spacing w:before="120"/>
        <w:ind w:firstLine="709"/>
        <w:jc w:val="both"/>
      </w:pPr>
      <w:r>
        <w:t>Căn cứ Nghị quyết số 07/2021/NQ-HĐND ngày 30 tháng 7 năm 2021 của Hội đồng nhân dân tỉnh Đồng Nai (trước sắp xếp) và Nghị quyết số 24/2021/NQ-HĐND ngày 07 tháng 12 năm 2021 của Hội đồng nhân dân tỉnh Bình Phước quy định mức thu lệ phí cấp giấy phép lao động cho người nước ngoài làm việc trên địa bàn tỉnh, Ủy ban nhân dân tỉnh đã ban hành Quyết định số 2747/QĐ-UBND ngày 12 tháng 8 năm 2021 để triển khai thực hiện Nghị quyết số 07/2021/NQ-HĐND</w:t>
      </w:r>
      <w:r w:rsidR="00C510F6">
        <w:t>, theo đó đối với cấp mới GPLĐ là 600.000 đồng/giấy phép và cấp lại/gia hạn là 450.000 đồng/giấyp hép</w:t>
      </w:r>
      <w:r>
        <w:t>. Đồng thời, mức thu lệ phí nêu trên cũng đã được niêm yết công khai tại các Quyết định công bố thủ tục hành chính có liên quan trên hệ thống Cổng dịch vụ công của tỉnh.</w:t>
      </w:r>
    </w:p>
    <w:p w:rsidR="0079006B" w:rsidRDefault="0079006B" w:rsidP="0079006B">
      <w:pPr>
        <w:spacing w:before="120"/>
        <w:ind w:firstLine="709"/>
        <w:jc w:val="both"/>
      </w:pPr>
      <w:r>
        <w:t>Từ ngày 01 tháng 7 năm 2025, tỉnh Đồng Nai thực hiện việc sắp xếp, hợp nhất địa giới hành chính giữa hai tỉnh Đồng Nai (trước sắp xếp) và tỉnh Bình Phước theo Nghị quyết số 202/2025/QH15 của Quốc hội. Nhằm bảo đảm tính liên tục trong việc thực hiện và thu các khoản phí, lệ phí trên địa bàn tỉnh Đồng Nai (sau sắp xếp), Ủy ban nhân dân tỉnh đã ban hành Công văn số 693/UBND-KTNS ngày 11 tháng 7 năm 2025 về việc đề xuất xây dựng chính sách miễn, giảm phí, lệ phí đối với thủ tục hành chính thực hiện qua dịch vụ công trực tuyến. Theo đó, các sở, ban, ngành tiếp tục áp dụng các nghị quyết quy định về mức thu phí, lệ phí như sau:</w:t>
      </w:r>
    </w:p>
    <w:p w:rsidR="0079006B" w:rsidRDefault="0079006B" w:rsidP="0079006B">
      <w:pPr>
        <w:spacing w:before="120"/>
        <w:ind w:firstLine="709"/>
        <w:jc w:val="both"/>
      </w:pPr>
      <w:r>
        <w:t>- Áp dụng các nghị quyết do Hội đồng nhân dân tỉnh Đồng Nai (trước sắp xếp) ban hành đối với các xã thuộc địa bàn tỉnh Đồng Nai (trước sắp xếp).</w:t>
      </w:r>
      <w:r w:rsidR="00C510F6" w:rsidRPr="00C510F6">
        <w:t xml:space="preserve"> </w:t>
      </w:r>
      <w:r w:rsidR="00C510F6" w:rsidRPr="0079006B">
        <w:t xml:space="preserve">Tại điểm e khoản 2 Điều 2 Nghị quyết số 19/2023/NQ-HĐND ngày 29 tháng 9 năm 2023 của Hội đồng nhân dân tỉnh Đồng Nai (trước sắp xếp) quy định mức thu lệ phí đối với hoạt động cung cấp dịch vụ công trực tuyến </w:t>
      </w:r>
      <w:r w:rsidR="00C510F6" w:rsidRPr="0079006B">
        <w:rPr>
          <w:b/>
        </w:rPr>
        <w:t>bằng 50% theo mức thu phí, lệ phí quy định tại Nghị quyết số 07/2021/NQ-HĐND</w:t>
      </w:r>
      <w:r w:rsidR="00C510F6">
        <w:rPr>
          <w:b/>
        </w:rPr>
        <w:t>.</w:t>
      </w:r>
    </w:p>
    <w:p w:rsidR="0079006B" w:rsidRDefault="0079006B" w:rsidP="0079006B">
      <w:pPr>
        <w:spacing w:before="120"/>
        <w:ind w:firstLine="709"/>
        <w:jc w:val="both"/>
      </w:pPr>
      <w:r>
        <w:t>- Áp dụng Nghị quyết số 03/2025/NQ-HĐND ngày 20 tháng 6 năm 2025 của Hội đồng nhân dân tỉnh Bình Phước quy định mức thu phí, lệ phí khi sử dụng dịch vụ công trực tuyến đối với các xã thuộc địa bàn tỉnh Bình Phước (trước sắp xếp).</w:t>
      </w:r>
      <w:r w:rsidR="00C510F6">
        <w:t xml:space="preserve"> </w:t>
      </w:r>
      <w:r w:rsidR="00C510F6" w:rsidRPr="0079006B">
        <w:t xml:space="preserve">Mức thu lệ phí đối với tổ chức, cá nhân nộp hồ sơ yêu cầu thực hiện thủ tục hành chính qua dịch vụ công trực tuyến trên địa bàn tỉnh Bình Phước (trước sắp xếp) là </w:t>
      </w:r>
      <w:r w:rsidR="00C510F6" w:rsidRPr="0079006B">
        <w:rPr>
          <w:b/>
        </w:rPr>
        <w:t>0 đồng (không thu).</w:t>
      </w:r>
    </w:p>
    <w:p w:rsidR="00944888" w:rsidRDefault="0079006B" w:rsidP="0079006B">
      <w:pPr>
        <w:spacing w:before="120"/>
        <w:ind w:firstLine="709"/>
        <w:jc w:val="both"/>
      </w:pPr>
      <w:r>
        <w:t>Việc tiếp tục áp dụng các nghị quyết nêu trên là cần thiết nhằm duy trì ổn định công tác thu lệ phí, đảm bảo tính pháp lý và tạo thuận lợi cho người dân, doanh nghiệp trong quá trình thực hiện thủ tục hành chính trong giai đoạn chuyển tiếp sau khi sắp xếp đơn vị hành chính cấp tỉnh.</w:t>
      </w:r>
    </w:p>
    <w:p w:rsidR="00D43D09" w:rsidRPr="000B35FA" w:rsidRDefault="00D43D09" w:rsidP="00D43D09">
      <w:pPr>
        <w:spacing w:before="120"/>
        <w:ind w:firstLine="709"/>
        <w:jc w:val="both"/>
        <w:rPr>
          <w:b/>
        </w:rPr>
      </w:pPr>
      <w:r w:rsidRPr="000B35FA">
        <w:rPr>
          <w:b/>
        </w:rPr>
        <w:lastRenderedPageBreak/>
        <w:t>2. Kết quả thi hành văn bản quy phạm pháp luật, đánh giá ưu điểm, bất cập, hạn chế của văn bản quy phạm pháp luật</w:t>
      </w:r>
    </w:p>
    <w:p w:rsidR="00227CD5" w:rsidRPr="00227CD5" w:rsidRDefault="00227CD5" w:rsidP="00227CD5">
      <w:pPr>
        <w:spacing w:before="120" w:after="120"/>
        <w:ind w:firstLine="709"/>
        <w:jc w:val="both"/>
        <w:rPr>
          <w:shd w:val="clear" w:color="auto" w:fill="FFFFFF"/>
        </w:rPr>
      </w:pPr>
      <w:r w:rsidRPr="00227CD5">
        <w:rPr>
          <w:shd w:val="clear" w:color="auto" w:fill="FFFFFF"/>
        </w:rPr>
        <w:t>Trước khi Nghị định số 219/2025/NĐ-CP của Chính phủ có hiệu lực từ ngày 07 tháng 8 năm 2025, công tác quản lý và cấp giấy phép lao động cho người lao động nước ngoài trên địa bàn tỉnh được thực hiện theo quy định tại Nghị định số 152/2020/NĐ-CP ngày 30 tháng 12 năm 2020 và Nghị định số 70/2023/NĐ-CP ngày 18 tháng 9 năm 2023 của Chính phủ.</w:t>
      </w:r>
    </w:p>
    <w:p w:rsidR="00227CD5" w:rsidRPr="00227CD5" w:rsidRDefault="00227CD5" w:rsidP="00227CD5">
      <w:pPr>
        <w:spacing w:before="120" w:after="120"/>
        <w:ind w:firstLine="709"/>
        <w:jc w:val="both"/>
        <w:rPr>
          <w:shd w:val="clear" w:color="auto" w:fill="FFFFFF"/>
        </w:rPr>
      </w:pPr>
      <w:r w:rsidRPr="00227CD5">
        <w:rPr>
          <w:shd w:val="clear" w:color="auto" w:fill="FFFFFF"/>
        </w:rPr>
        <w:t>Theo đó, việc giải quyết thủ tục hành chính liên quan đến cấp giấy phép lao động cho người nước ngoài trên địa bàn tỉnh Đồng Nai và tỉnh Bình Phước (trước sắp xếp) được phân công cụ thể như sau: Sở Nội vụ (Sở Lao động - Thương binh và Xã hội) thực hiện đối với người lao động làm việc tại các doanh nghiệp, tổ chức ngoài khu công nghiệp, khu kinh tế; Ban Quản lý các Khu công nghiệp Đồng Nai và Ban Quản lý Khu kinh tế tỉnh Bình Phước thực hiện đối với người lao động làm việc trong các khu công nghiệp, khu kinh tế, cho đến thời điểm ngày 18 tháng 9 năm 2023.</w:t>
      </w:r>
    </w:p>
    <w:p w:rsidR="00B53484" w:rsidRDefault="00227CD5" w:rsidP="00227CD5">
      <w:pPr>
        <w:spacing w:before="120" w:after="120"/>
        <w:ind w:firstLine="709"/>
        <w:jc w:val="both"/>
        <w:rPr>
          <w:shd w:val="clear" w:color="auto" w:fill="FFFFFF"/>
        </w:rPr>
      </w:pPr>
      <w:r>
        <w:rPr>
          <w:shd w:val="clear" w:color="auto" w:fill="FFFFFF"/>
        </w:rPr>
        <w:t xml:space="preserve">- </w:t>
      </w:r>
      <w:r w:rsidRPr="00227CD5">
        <w:rPr>
          <w:shd w:val="clear" w:color="auto" w:fill="FFFFFF"/>
        </w:rPr>
        <w:t>Số liệu thống kê về tình hình cấp giấy phép lao động cho người nước ngoài trong giai đoạn nêu trên được tổng hợp như sau:</w:t>
      </w:r>
    </w:p>
    <w:tbl>
      <w:tblPr>
        <w:tblW w:w="10402"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356"/>
        <w:gridCol w:w="992"/>
        <w:gridCol w:w="957"/>
        <w:gridCol w:w="957"/>
        <w:gridCol w:w="957"/>
        <w:gridCol w:w="957"/>
        <w:gridCol w:w="1329"/>
        <w:gridCol w:w="1134"/>
      </w:tblGrid>
      <w:tr w:rsidR="0046558D" w:rsidRPr="00AA7561" w:rsidTr="00AA7561">
        <w:trPr>
          <w:jc w:val="center"/>
        </w:trPr>
        <w:tc>
          <w:tcPr>
            <w:tcW w:w="763" w:type="dxa"/>
            <w:vAlign w:val="center"/>
          </w:tcPr>
          <w:p w:rsidR="0046558D" w:rsidRPr="00AA7561" w:rsidRDefault="0046558D" w:rsidP="0046558D">
            <w:pPr>
              <w:spacing w:before="120" w:after="120"/>
              <w:jc w:val="center"/>
              <w:rPr>
                <w:b/>
                <w:sz w:val="26"/>
              </w:rPr>
            </w:pPr>
            <w:r w:rsidRPr="00AA7561">
              <w:rPr>
                <w:b/>
                <w:sz w:val="26"/>
              </w:rPr>
              <w:t>STT</w:t>
            </w:r>
          </w:p>
        </w:tc>
        <w:tc>
          <w:tcPr>
            <w:tcW w:w="2356" w:type="dxa"/>
            <w:vAlign w:val="center"/>
          </w:tcPr>
          <w:p w:rsidR="0046558D" w:rsidRPr="00AA7561" w:rsidRDefault="0046558D" w:rsidP="0046558D">
            <w:pPr>
              <w:spacing w:before="120" w:after="120" w:line="252" w:lineRule="auto"/>
              <w:jc w:val="center"/>
              <w:rPr>
                <w:b/>
                <w:sz w:val="26"/>
              </w:rPr>
            </w:pPr>
            <w:r w:rsidRPr="00AA7561">
              <w:rPr>
                <w:b/>
                <w:sz w:val="26"/>
              </w:rPr>
              <w:t>Nội dung</w:t>
            </w:r>
          </w:p>
        </w:tc>
        <w:tc>
          <w:tcPr>
            <w:tcW w:w="992" w:type="dxa"/>
            <w:vAlign w:val="center"/>
          </w:tcPr>
          <w:p w:rsidR="0046558D" w:rsidRPr="00AA7561" w:rsidRDefault="0046558D" w:rsidP="0046558D">
            <w:pPr>
              <w:spacing w:before="120" w:after="120" w:line="252" w:lineRule="auto"/>
              <w:jc w:val="center"/>
              <w:rPr>
                <w:b/>
                <w:sz w:val="26"/>
              </w:rPr>
            </w:pPr>
            <w:r w:rsidRPr="00AA7561">
              <w:rPr>
                <w:b/>
                <w:sz w:val="26"/>
              </w:rPr>
              <w:t>ĐVT</w:t>
            </w:r>
          </w:p>
        </w:tc>
        <w:tc>
          <w:tcPr>
            <w:tcW w:w="957" w:type="dxa"/>
            <w:vAlign w:val="center"/>
          </w:tcPr>
          <w:p w:rsidR="0046558D" w:rsidRPr="00AA7561" w:rsidRDefault="0046558D" w:rsidP="0046558D">
            <w:pPr>
              <w:tabs>
                <w:tab w:val="left" w:pos="993"/>
              </w:tabs>
              <w:spacing w:before="120" w:after="120" w:line="252" w:lineRule="auto"/>
              <w:jc w:val="center"/>
              <w:rPr>
                <w:b/>
                <w:sz w:val="26"/>
              </w:rPr>
            </w:pPr>
            <w:r w:rsidRPr="00AA7561">
              <w:rPr>
                <w:b/>
                <w:sz w:val="26"/>
              </w:rPr>
              <w:t>2021</w:t>
            </w:r>
          </w:p>
        </w:tc>
        <w:tc>
          <w:tcPr>
            <w:tcW w:w="957" w:type="dxa"/>
            <w:vAlign w:val="center"/>
          </w:tcPr>
          <w:p w:rsidR="0046558D" w:rsidRPr="00AA7561" w:rsidRDefault="0046558D" w:rsidP="0046558D">
            <w:pPr>
              <w:spacing w:before="120" w:after="120" w:line="252" w:lineRule="auto"/>
              <w:jc w:val="center"/>
              <w:rPr>
                <w:b/>
                <w:sz w:val="26"/>
              </w:rPr>
            </w:pPr>
            <w:r w:rsidRPr="00AA7561">
              <w:rPr>
                <w:b/>
                <w:sz w:val="26"/>
              </w:rPr>
              <w:t>2022</w:t>
            </w:r>
          </w:p>
        </w:tc>
        <w:tc>
          <w:tcPr>
            <w:tcW w:w="957" w:type="dxa"/>
            <w:vAlign w:val="center"/>
          </w:tcPr>
          <w:p w:rsidR="0046558D" w:rsidRPr="00AA7561" w:rsidRDefault="0046558D" w:rsidP="0046558D">
            <w:pPr>
              <w:tabs>
                <w:tab w:val="left" w:pos="993"/>
              </w:tabs>
              <w:spacing w:before="120" w:after="120" w:line="252" w:lineRule="auto"/>
              <w:jc w:val="center"/>
              <w:rPr>
                <w:b/>
                <w:sz w:val="26"/>
              </w:rPr>
            </w:pPr>
            <w:r w:rsidRPr="00AA7561">
              <w:rPr>
                <w:b/>
                <w:sz w:val="26"/>
              </w:rPr>
              <w:t>2023</w:t>
            </w:r>
          </w:p>
        </w:tc>
        <w:tc>
          <w:tcPr>
            <w:tcW w:w="957" w:type="dxa"/>
            <w:vAlign w:val="center"/>
          </w:tcPr>
          <w:p w:rsidR="0046558D" w:rsidRPr="00AA7561" w:rsidRDefault="0046558D" w:rsidP="0046558D">
            <w:pPr>
              <w:spacing w:before="120" w:after="120" w:line="252" w:lineRule="auto"/>
              <w:jc w:val="center"/>
              <w:rPr>
                <w:b/>
                <w:sz w:val="26"/>
              </w:rPr>
            </w:pPr>
            <w:r w:rsidRPr="00AA7561">
              <w:rPr>
                <w:b/>
                <w:sz w:val="26"/>
              </w:rPr>
              <w:t>2024</w:t>
            </w:r>
          </w:p>
        </w:tc>
        <w:tc>
          <w:tcPr>
            <w:tcW w:w="1329" w:type="dxa"/>
            <w:vAlign w:val="center"/>
          </w:tcPr>
          <w:p w:rsidR="0046558D" w:rsidRPr="00AA7561" w:rsidRDefault="0046558D" w:rsidP="0046558D">
            <w:pPr>
              <w:spacing w:before="120" w:after="120" w:line="252" w:lineRule="auto"/>
              <w:jc w:val="center"/>
              <w:rPr>
                <w:b/>
                <w:sz w:val="26"/>
              </w:rPr>
            </w:pPr>
            <w:r w:rsidRPr="00AA7561">
              <w:rPr>
                <w:b/>
                <w:sz w:val="26"/>
              </w:rPr>
              <w:t>09 tháng 2025</w:t>
            </w:r>
          </w:p>
        </w:tc>
        <w:tc>
          <w:tcPr>
            <w:tcW w:w="1134" w:type="dxa"/>
            <w:vAlign w:val="center"/>
          </w:tcPr>
          <w:p w:rsidR="0046558D" w:rsidRPr="00AA7561" w:rsidRDefault="0046558D" w:rsidP="00AA7561">
            <w:pPr>
              <w:spacing w:before="120" w:after="120" w:line="252" w:lineRule="auto"/>
              <w:jc w:val="center"/>
              <w:rPr>
                <w:b/>
                <w:sz w:val="26"/>
              </w:rPr>
            </w:pPr>
            <w:r w:rsidRPr="00AA7561">
              <w:rPr>
                <w:b/>
                <w:sz w:val="26"/>
              </w:rPr>
              <w:t>TỔNG</w:t>
            </w:r>
          </w:p>
        </w:tc>
      </w:tr>
      <w:tr w:rsidR="0046558D" w:rsidRPr="00AA7561" w:rsidTr="00AA7561">
        <w:trPr>
          <w:trHeight w:val="457"/>
          <w:jc w:val="center"/>
        </w:trPr>
        <w:tc>
          <w:tcPr>
            <w:tcW w:w="763" w:type="dxa"/>
            <w:vAlign w:val="center"/>
          </w:tcPr>
          <w:p w:rsidR="0046558D" w:rsidRPr="00AA7561" w:rsidRDefault="0046558D" w:rsidP="0046558D">
            <w:pPr>
              <w:tabs>
                <w:tab w:val="left" w:pos="993"/>
              </w:tabs>
              <w:spacing w:before="120" w:after="120" w:line="252" w:lineRule="auto"/>
              <w:jc w:val="center"/>
              <w:rPr>
                <w:sz w:val="26"/>
              </w:rPr>
            </w:pPr>
            <w:r w:rsidRPr="00AA7561">
              <w:rPr>
                <w:sz w:val="26"/>
              </w:rPr>
              <w:t>1</w:t>
            </w:r>
          </w:p>
        </w:tc>
        <w:tc>
          <w:tcPr>
            <w:tcW w:w="2356" w:type="dxa"/>
            <w:vAlign w:val="center"/>
          </w:tcPr>
          <w:p w:rsidR="0046558D" w:rsidRPr="00AA7561" w:rsidRDefault="0046558D" w:rsidP="0046558D">
            <w:pPr>
              <w:spacing w:before="120" w:after="120"/>
              <w:jc w:val="both"/>
              <w:rPr>
                <w:sz w:val="26"/>
              </w:rPr>
            </w:pPr>
            <w:r w:rsidRPr="00AA7561">
              <w:rPr>
                <w:sz w:val="26"/>
              </w:rPr>
              <w:t>Cấp mới GPLĐ</w:t>
            </w:r>
          </w:p>
        </w:tc>
        <w:tc>
          <w:tcPr>
            <w:tcW w:w="992" w:type="dxa"/>
            <w:vAlign w:val="center"/>
          </w:tcPr>
          <w:p w:rsidR="0046558D" w:rsidRPr="00AA7561" w:rsidRDefault="0046558D" w:rsidP="0046558D">
            <w:pPr>
              <w:spacing w:before="120" w:after="120"/>
              <w:jc w:val="center"/>
              <w:rPr>
                <w:sz w:val="26"/>
              </w:rPr>
            </w:pPr>
            <w:r w:rsidRPr="00AA7561">
              <w:rPr>
                <w:sz w:val="26"/>
              </w:rPr>
              <w:t>Người</w:t>
            </w:r>
          </w:p>
        </w:tc>
        <w:tc>
          <w:tcPr>
            <w:tcW w:w="957" w:type="dxa"/>
            <w:vAlign w:val="center"/>
          </w:tcPr>
          <w:p w:rsidR="0046558D" w:rsidRPr="00AA7561" w:rsidRDefault="009E595A" w:rsidP="00AA7561">
            <w:pPr>
              <w:tabs>
                <w:tab w:val="left" w:pos="993"/>
              </w:tabs>
              <w:spacing w:before="120" w:after="120"/>
              <w:jc w:val="right"/>
              <w:rPr>
                <w:sz w:val="26"/>
              </w:rPr>
            </w:pPr>
            <w:r>
              <w:rPr>
                <w:sz w:val="26"/>
              </w:rPr>
              <w:t>3.135</w:t>
            </w:r>
          </w:p>
        </w:tc>
        <w:tc>
          <w:tcPr>
            <w:tcW w:w="957" w:type="dxa"/>
            <w:vAlign w:val="center"/>
          </w:tcPr>
          <w:p w:rsidR="0046558D" w:rsidRPr="00AA7561" w:rsidRDefault="009E595A" w:rsidP="00AA7561">
            <w:pPr>
              <w:spacing w:before="120" w:after="120"/>
              <w:jc w:val="right"/>
              <w:rPr>
                <w:sz w:val="26"/>
              </w:rPr>
            </w:pPr>
            <w:r>
              <w:rPr>
                <w:sz w:val="26"/>
              </w:rPr>
              <w:t>3.625</w:t>
            </w:r>
          </w:p>
        </w:tc>
        <w:tc>
          <w:tcPr>
            <w:tcW w:w="957" w:type="dxa"/>
            <w:vAlign w:val="center"/>
          </w:tcPr>
          <w:p w:rsidR="0046558D" w:rsidRPr="00C10142" w:rsidRDefault="009E595A" w:rsidP="00AA7561">
            <w:pPr>
              <w:tabs>
                <w:tab w:val="left" w:pos="993"/>
              </w:tabs>
              <w:spacing w:before="120" w:after="120"/>
              <w:jc w:val="right"/>
              <w:rPr>
                <w:sz w:val="26"/>
              </w:rPr>
            </w:pPr>
            <w:r>
              <w:rPr>
                <w:sz w:val="26"/>
              </w:rPr>
              <w:t>4.744</w:t>
            </w:r>
          </w:p>
        </w:tc>
        <w:tc>
          <w:tcPr>
            <w:tcW w:w="957" w:type="dxa"/>
            <w:vAlign w:val="center"/>
          </w:tcPr>
          <w:p w:rsidR="0046558D" w:rsidRPr="00AA7561" w:rsidRDefault="00E47241" w:rsidP="00AA7561">
            <w:pPr>
              <w:spacing w:before="120" w:after="120"/>
              <w:jc w:val="right"/>
              <w:rPr>
                <w:sz w:val="26"/>
              </w:rPr>
            </w:pPr>
            <w:r>
              <w:rPr>
                <w:sz w:val="26"/>
              </w:rPr>
              <w:t>4.967</w:t>
            </w:r>
          </w:p>
        </w:tc>
        <w:tc>
          <w:tcPr>
            <w:tcW w:w="1329" w:type="dxa"/>
            <w:vAlign w:val="center"/>
          </w:tcPr>
          <w:p w:rsidR="0046558D" w:rsidRPr="009E595A" w:rsidRDefault="009E595A" w:rsidP="00AA7561">
            <w:pPr>
              <w:spacing w:before="120" w:after="120"/>
              <w:jc w:val="right"/>
              <w:rPr>
                <w:sz w:val="26"/>
              </w:rPr>
            </w:pPr>
            <w:r>
              <w:rPr>
                <w:sz w:val="26"/>
              </w:rPr>
              <w:t>1.937</w:t>
            </w:r>
          </w:p>
        </w:tc>
        <w:tc>
          <w:tcPr>
            <w:tcW w:w="1134" w:type="dxa"/>
            <w:vAlign w:val="center"/>
          </w:tcPr>
          <w:p w:rsidR="0046558D" w:rsidRPr="00AA7561" w:rsidRDefault="00E47241" w:rsidP="00AA7561">
            <w:pPr>
              <w:spacing w:before="120" w:after="120"/>
              <w:jc w:val="right"/>
              <w:rPr>
                <w:sz w:val="26"/>
              </w:rPr>
            </w:pPr>
            <w:r>
              <w:rPr>
                <w:sz w:val="26"/>
              </w:rPr>
              <w:t>18.408</w:t>
            </w:r>
          </w:p>
        </w:tc>
      </w:tr>
      <w:tr w:rsidR="0046558D" w:rsidRPr="00AA7561" w:rsidTr="00AA7561">
        <w:trPr>
          <w:trHeight w:val="421"/>
          <w:jc w:val="center"/>
        </w:trPr>
        <w:tc>
          <w:tcPr>
            <w:tcW w:w="763" w:type="dxa"/>
            <w:vAlign w:val="center"/>
          </w:tcPr>
          <w:p w:rsidR="0046558D" w:rsidRPr="00AA7561" w:rsidRDefault="0046558D" w:rsidP="0046558D">
            <w:pPr>
              <w:tabs>
                <w:tab w:val="left" w:pos="993"/>
              </w:tabs>
              <w:spacing w:before="120" w:after="120" w:line="252" w:lineRule="auto"/>
              <w:jc w:val="center"/>
              <w:rPr>
                <w:sz w:val="26"/>
              </w:rPr>
            </w:pPr>
            <w:r w:rsidRPr="00AA7561">
              <w:rPr>
                <w:sz w:val="26"/>
              </w:rPr>
              <w:t>2</w:t>
            </w:r>
          </w:p>
        </w:tc>
        <w:tc>
          <w:tcPr>
            <w:tcW w:w="2356" w:type="dxa"/>
            <w:vAlign w:val="center"/>
          </w:tcPr>
          <w:p w:rsidR="0046558D" w:rsidRPr="00AA7561" w:rsidRDefault="0046558D" w:rsidP="0046558D">
            <w:pPr>
              <w:spacing w:before="120" w:after="120"/>
              <w:jc w:val="both"/>
              <w:rPr>
                <w:sz w:val="26"/>
              </w:rPr>
            </w:pPr>
            <w:r w:rsidRPr="00AA7561">
              <w:rPr>
                <w:sz w:val="26"/>
              </w:rPr>
              <w:t>Cấp lại/gia hạn GPLĐ</w:t>
            </w:r>
          </w:p>
        </w:tc>
        <w:tc>
          <w:tcPr>
            <w:tcW w:w="992" w:type="dxa"/>
            <w:vAlign w:val="center"/>
          </w:tcPr>
          <w:p w:rsidR="0046558D" w:rsidRPr="00AA7561" w:rsidRDefault="0046558D" w:rsidP="0046558D">
            <w:pPr>
              <w:spacing w:before="120" w:after="120"/>
              <w:jc w:val="center"/>
              <w:rPr>
                <w:sz w:val="26"/>
              </w:rPr>
            </w:pPr>
            <w:r w:rsidRPr="00AA7561">
              <w:rPr>
                <w:sz w:val="26"/>
              </w:rPr>
              <w:t>Người</w:t>
            </w:r>
          </w:p>
        </w:tc>
        <w:tc>
          <w:tcPr>
            <w:tcW w:w="957" w:type="dxa"/>
            <w:vAlign w:val="center"/>
          </w:tcPr>
          <w:p w:rsidR="0046558D" w:rsidRPr="00AA7561" w:rsidRDefault="009E595A" w:rsidP="00AA7561">
            <w:pPr>
              <w:tabs>
                <w:tab w:val="left" w:pos="993"/>
              </w:tabs>
              <w:spacing w:before="120" w:after="120"/>
              <w:jc w:val="right"/>
              <w:rPr>
                <w:sz w:val="26"/>
              </w:rPr>
            </w:pPr>
            <w:r>
              <w:rPr>
                <w:sz w:val="26"/>
              </w:rPr>
              <w:t>3</w:t>
            </w:r>
            <w:r w:rsidR="00E47241">
              <w:rPr>
                <w:sz w:val="26"/>
              </w:rPr>
              <w:t>.</w:t>
            </w:r>
            <w:r>
              <w:rPr>
                <w:sz w:val="26"/>
              </w:rPr>
              <w:t>449</w:t>
            </w:r>
          </w:p>
        </w:tc>
        <w:tc>
          <w:tcPr>
            <w:tcW w:w="957" w:type="dxa"/>
            <w:vAlign w:val="center"/>
          </w:tcPr>
          <w:p w:rsidR="0046558D" w:rsidRPr="00AA7561" w:rsidRDefault="009E595A" w:rsidP="00AA7561">
            <w:pPr>
              <w:spacing w:before="120" w:after="120"/>
              <w:jc w:val="right"/>
              <w:rPr>
                <w:sz w:val="26"/>
              </w:rPr>
            </w:pPr>
            <w:r>
              <w:rPr>
                <w:sz w:val="26"/>
              </w:rPr>
              <w:t>2.840</w:t>
            </w:r>
          </w:p>
        </w:tc>
        <w:tc>
          <w:tcPr>
            <w:tcW w:w="957" w:type="dxa"/>
            <w:vAlign w:val="center"/>
          </w:tcPr>
          <w:p w:rsidR="0046558D" w:rsidRPr="00C10142" w:rsidRDefault="009E595A" w:rsidP="00AA7561">
            <w:pPr>
              <w:tabs>
                <w:tab w:val="left" w:pos="993"/>
              </w:tabs>
              <w:spacing w:before="120" w:after="120"/>
              <w:jc w:val="right"/>
              <w:rPr>
                <w:sz w:val="26"/>
              </w:rPr>
            </w:pPr>
            <w:r>
              <w:rPr>
                <w:sz w:val="26"/>
              </w:rPr>
              <w:t>1.761</w:t>
            </w:r>
          </w:p>
        </w:tc>
        <w:tc>
          <w:tcPr>
            <w:tcW w:w="957" w:type="dxa"/>
            <w:vAlign w:val="center"/>
          </w:tcPr>
          <w:p w:rsidR="0046558D" w:rsidRPr="00AA7561" w:rsidRDefault="00E47241" w:rsidP="00AA7561">
            <w:pPr>
              <w:spacing w:before="120" w:after="120"/>
              <w:jc w:val="right"/>
              <w:rPr>
                <w:sz w:val="26"/>
              </w:rPr>
            </w:pPr>
            <w:r>
              <w:rPr>
                <w:sz w:val="26"/>
              </w:rPr>
              <w:t>2.157</w:t>
            </w:r>
          </w:p>
        </w:tc>
        <w:tc>
          <w:tcPr>
            <w:tcW w:w="1329" w:type="dxa"/>
            <w:vAlign w:val="center"/>
          </w:tcPr>
          <w:p w:rsidR="0046558D" w:rsidRPr="00AA7561" w:rsidRDefault="009E595A" w:rsidP="00AA7561">
            <w:pPr>
              <w:spacing w:before="120" w:after="120"/>
              <w:jc w:val="right"/>
              <w:rPr>
                <w:sz w:val="26"/>
              </w:rPr>
            </w:pPr>
            <w:r>
              <w:rPr>
                <w:sz w:val="26"/>
              </w:rPr>
              <w:t>1.702</w:t>
            </w:r>
          </w:p>
        </w:tc>
        <w:tc>
          <w:tcPr>
            <w:tcW w:w="1134" w:type="dxa"/>
            <w:vAlign w:val="center"/>
          </w:tcPr>
          <w:p w:rsidR="0046558D" w:rsidRPr="00AA7561" w:rsidRDefault="00E47241" w:rsidP="00AA7561">
            <w:pPr>
              <w:spacing w:before="120" w:after="120"/>
              <w:jc w:val="right"/>
              <w:rPr>
                <w:sz w:val="26"/>
              </w:rPr>
            </w:pPr>
            <w:r>
              <w:rPr>
                <w:sz w:val="26"/>
              </w:rPr>
              <w:t>11.909</w:t>
            </w:r>
          </w:p>
        </w:tc>
      </w:tr>
      <w:tr w:rsidR="0046558D" w:rsidRPr="00AA7561" w:rsidTr="00AA7561">
        <w:trPr>
          <w:trHeight w:val="399"/>
          <w:jc w:val="center"/>
        </w:trPr>
        <w:tc>
          <w:tcPr>
            <w:tcW w:w="3119" w:type="dxa"/>
            <w:gridSpan w:val="2"/>
          </w:tcPr>
          <w:p w:rsidR="0046558D" w:rsidRPr="00AA7561" w:rsidRDefault="0046558D" w:rsidP="0046558D">
            <w:pPr>
              <w:spacing w:before="120" w:after="120"/>
              <w:jc w:val="center"/>
              <w:rPr>
                <w:b/>
                <w:bCs/>
                <w:sz w:val="26"/>
              </w:rPr>
            </w:pPr>
            <w:r w:rsidRPr="00AA7561">
              <w:rPr>
                <w:b/>
                <w:bCs/>
                <w:sz w:val="26"/>
              </w:rPr>
              <w:t>TỔNG CỘNG</w:t>
            </w:r>
          </w:p>
        </w:tc>
        <w:tc>
          <w:tcPr>
            <w:tcW w:w="992" w:type="dxa"/>
            <w:vAlign w:val="center"/>
          </w:tcPr>
          <w:p w:rsidR="0046558D" w:rsidRPr="00AA7561" w:rsidRDefault="0046558D" w:rsidP="0046558D">
            <w:pPr>
              <w:spacing w:before="120" w:after="120"/>
              <w:jc w:val="center"/>
              <w:rPr>
                <w:b/>
                <w:bCs/>
                <w:sz w:val="26"/>
              </w:rPr>
            </w:pPr>
            <w:r w:rsidRPr="00AA7561">
              <w:rPr>
                <w:b/>
                <w:bCs/>
                <w:sz w:val="26"/>
              </w:rPr>
              <w:t>Người</w:t>
            </w:r>
          </w:p>
        </w:tc>
        <w:tc>
          <w:tcPr>
            <w:tcW w:w="957" w:type="dxa"/>
          </w:tcPr>
          <w:p w:rsidR="0046558D" w:rsidRPr="00AA7561" w:rsidRDefault="009E595A" w:rsidP="00AA7561">
            <w:pPr>
              <w:tabs>
                <w:tab w:val="left" w:pos="993"/>
              </w:tabs>
              <w:spacing w:before="120" w:after="120"/>
              <w:jc w:val="right"/>
              <w:rPr>
                <w:b/>
                <w:bCs/>
                <w:color w:val="000000"/>
                <w:sz w:val="26"/>
              </w:rPr>
            </w:pPr>
            <w:r>
              <w:rPr>
                <w:b/>
                <w:bCs/>
                <w:color w:val="000000"/>
                <w:sz w:val="26"/>
              </w:rPr>
              <w:t>6.584</w:t>
            </w:r>
          </w:p>
        </w:tc>
        <w:tc>
          <w:tcPr>
            <w:tcW w:w="957" w:type="dxa"/>
          </w:tcPr>
          <w:p w:rsidR="0046558D" w:rsidRPr="00AA7561" w:rsidRDefault="009E595A" w:rsidP="00AA7561">
            <w:pPr>
              <w:spacing w:before="120" w:after="120"/>
              <w:jc w:val="right"/>
              <w:rPr>
                <w:b/>
                <w:bCs/>
                <w:color w:val="000000"/>
                <w:sz w:val="26"/>
              </w:rPr>
            </w:pPr>
            <w:r>
              <w:rPr>
                <w:b/>
                <w:bCs/>
                <w:color w:val="000000"/>
                <w:sz w:val="26"/>
              </w:rPr>
              <w:t>6.465</w:t>
            </w:r>
          </w:p>
        </w:tc>
        <w:tc>
          <w:tcPr>
            <w:tcW w:w="957" w:type="dxa"/>
          </w:tcPr>
          <w:p w:rsidR="0046558D" w:rsidRPr="00C10142" w:rsidRDefault="009E595A" w:rsidP="00AA7561">
            <w:pPr>
              <w:tabs>
                <w:tab w:val="left" w:pos="993"/>
              </w:tabs>
              <w:spacing w:before="120" w:after="120"/>
              <w:jc w:val="right"/>
              <w:rPr>
                <w:b/>
                <w:bCs/>
                <w:sz w:val="26"/>
              </w:rPr>
            </w:pPr>
            <w:r>
              <w:rPr>
                <w:b/>
                <w:bCs/>
                <w:sz w:val="26"/>
              </w:rPr>
              <w:t>6.505</w:t>
            </w:r>
          </w:p>
        </w:tc>
        <w:tc>
          <w:tcPr>
            <w:tcW w:w="957" w:type="dxa"/>
          </w:tcPr>
          <w:p w:rsidR="0046558D" w:rsidRPr="00AA7561" w:rsidRDefault="00E47241" w:rsidP="00AA7561">
            <w:pPr>
              <w:spacing w:before="120" w:after="120"/>
              <w:jc w:val="right"/>
              <w:rPr>
                <w:b/>
                <w:bCs/>
                <w:color w:val="000000"/>
                <w:sz w:val="26"/>
              </w:rPr>
            </w:pPr>
            <w:r>
              <w:rPr>
                <w:b/>
                <w:bCs/>
                <w:color w:val="000000"/>
                <w:sz w:val="26"/>
              </w:rPr>
              <w:t>7.124</w:t>
            </w:r>
          </w:p>
        </w:tc>
        <w:tc>
          <w:tcPr>
            <w:tcW w:w="1329" w:type="dxa"/>
          </w:tcPr>
          <w:p w:rsidR="0046558D" w:rsidRPr="00AA7561" w:rsidRDefault="009E595A" w:rsidP="00AA7561">
            <w:pPr>
              <w:spacing w:before="120" w:after="120"/>
              <w:jc w:val="right"/>
              <w:rPr>
                <w:b/>
                <w:bCs/>
                <w:color w:val="000000"/>
                <w:sz w:val="26"/>
              </w:rPr>
            </w:pPr>
            <w:r>
              <w:rPr>
                <w:b/>
                <w:bCs/>
                <w:color w:val="000000"/>
                <w:sz w:val="26"/>
              </w:rPr>
              <w:t>3.639</w:t>
            </w:r>
          </w:p>
        </w:tc>
        <w:tc>
          <w:tcPr>
            <w:tcW w:w="1134" w:type="dxa"/>
            <w:vAlign w:val="center"/>
          </w:tcPr>
          <w:p w:rsidR="0046558D" w:rsidRPr="00AA7561" w:rsidRDefault="00E47241" w:rsidP="00AA7561">
            <w:pPr>
              <w:spacing w:before="120" w:after="120"/>
              <w:jc w:val="right"/>
              <w:rPr>
                <w:b/>
                <w:bCs/>
                <w:color w:val="000000"/>
                <w:sz w:val="26"/>
              </w:rPr>
            </w:pPr>
            <w:r>
              <w:rPr>
                <w:b/>
                <w:bCs/>
                <w:color w:val="000000"/>
                <w:sz w:val="26"/>
              </w:rPr>
              <w:t>30.317</w:t>
            </w:r>
          </w:p>
        </w:tc>
      </w:tr>
    </w:tbl>
    <w:p w:rsidR="0046558D" w:rsidRPr="0046558D" w:rsidRDefault="0046558D" w:rsidP="0046558D">
      <w:pPr>
        <w:spacing w:before="120" w:after="120"/>
        <w:ind w:firstLine="709"/>
        <w:jc w:val="both"/>
      </w:pPr>
      <w:r w:rsidRPr="0046558D">
        <w:t>- Tình hình thu lệ phí cấp giấy phép lao động</w:t>
      </w:r>
    </w:p>
    <w:tbl>
      <w:tblPr>
        <w:tblW w:w="9872" w:type="dxa"/>
        <w:jc w:val="center"/>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843"/>
        <w:gridCol w:w="2397"/>
        <w:gridCol w:w="2397"/>
      </w:tblGrid>
      <w:tr w:rsidR="0046558D" w:rsidRPr="009C7C3B" w:rsidTr="00A10434">
        <w:trPr>
          <w:trHeight w:val="462"/>
          <w:jc w:val="center"/>
        </w:trPr>
        <w:tc>
          <w:tcPr>
            <w:tcW w:w="3235" w:type="dxa"/>
            <w:shd w:val="clear" w:color="auto" w:fill="auto"/>
            <w:vAlign w:val="center"/>
          </w:tcPr>
          <w:p w:rsidR="0046558D" w:rsidRPr="009C7C3B" w:rsidRDefault="0046558D" w:rsidP="0046558D">
            <w:pPr>
              <w:spacing w:before="120" w:after="120"/>
              <w:jc w:val="center"/>
              <w:rPr>
                <w:b/>
                <w:szCs w:val="28"/>
              </w:rPr>
            </w:pPr>
            <w:r w:rsidRPr="009C7C3B">
              <w:rPr>
                <w:b/>
                <w:szCs w:val="28"/>
              </w:rPr>
              <w:t>Số năm</w:t>
            </w:r>
          </w:p>
        </w:tc>
        <w:tc>
          <w:tcPr>
            <w:tcW w:w="1843" w:type="dxa"/>
            <w:shd w:val="clear" w:color="auto" w:fill="auto"/>
            <w:vAlign w:val="center"/>
          </w:tcPr>
          <w:p w:rsidR="0046558D" w:rsidRPr="009C7C3B" w:rsidRDefault="0046558D" w:rsidP="0046558D">
            <w:pPr>
              <w:spacing w:before="120" w:after="120"/>
              <w:jc w:val="center"/>
              <w:rPr>
                <w:b/>
                <w:szCs w:val="28"/>
              </w:rPr>
            </w:pPr>
            <w:r w:rsidRPr="009C7C3B">
              <w:rPr>
                <w:b/>
                <w:szCs w:val="28"/>
              </w:rPr>
              <w:t>Đơn vị tính</w:t>
            </w:r>
          </w:p>
        </w:tc>
        <w:tc>
          <w:tcPr>
            <w:tcW w:w="2397" w:type="dxa"/>
            <w:shd w:val="clear" w:color="auto" w:fill="auto"/>
            <w:vAlign w:val="center"/>
          </w:tcPr>
          <w:p w:rsidR="00A10434" w:rsidRPr="009C7C3B" w:rsidRDefault="0046558D" w:rsidP="00A10434">
            <w:pPr>
              <w:spacing w:before="120"/>
              <w:jc w:val="center"/>
              <w:rPr>
                <w:b/>
                <w:szCs w:val="28"/>
              </w:rPr>
            </w:pPr>
            <w:r w:rsidRPr="009C7C3B">
              <w:rPr>
                <w:b/>
                <w:szCs w:val="28"/>
              </w:rPr>
              <w:t>Tổng số tiền</w:t>
            </w:r>
          </w:p>
          <w:p w:rsidR="0046558D" w:rsidRPr="009C7C3B" w:rsidRDefault="0046558D" w:rsidP="00A10434">
            <w:pPr>
              <w:spacing w:after="120"/>
              <w:jc w:val="center"/>
              <w:rPr>
                <w:b/>
                <w:szCs w:val="28"/>
              </w:rPr>
            </w:pPr>
            <w:r w:rsidRPr="009C7C3B">
              <w:rPr>
                <w:b/>
                <w:szCs w:val="28"/>
              </w:rPr>
              <w:t>thu được</w:t>
            </w:r>
          </w:p>
        </w:tc>
        <w:tc>
          <w:tcPr>
            <w:tcW w:w="2397" w:type="dxa"/>
            <w:shd w:val="clear" w:color="auto" w:fill="auto"/>
            <w:vAlign w:val="center"/>
          </w:tcPr>
          <w:p w:rsidR="0046558D" w:rsidRPr="009C7C3B" w:rsidRDefault="0046558D" w:rsidP="0046558D">
            <w:pPr>
              <w:spacing w:before="120" w:after="120"/>
              <w:jc w:val="center"/>
              <w:rPr>
                <w:b/>
                <w:szCs w:val="28"/>
              </w:rPr>
            </w:pPr>
            <w:r w:rsidRPr="009C7C3B">
              <w:rPr>
                <w:b/>
                <w:szCs w:val="28"/>
              </w:rPr>
              <w:t>Số tiền nộp ngân sách nhà nước</w:t>
            </w:r>
          </w:p>
        </w:tc>
      </w:tr>
      <w:tr w:rsidR="00317F11" w:rsidRPr="009C7C3B" w:rsidTr="00A10434">
        <w:trPr>
          <w:trHeight w:val="403"/>
          <w:jc w:val="center"/>
        </w:trPr>
        <w:tc>
          <w:tcPr>
            <w:tcW w:w="3235" w:type="dxa"/>
            <w:shd w:val="clear" w:color="auto" w:fill="auto"/>
          </w:tcPr>
          <w:p w:rsidR="00317F11" w:rsidRPr="009C7C3B" w:rsidRDefault="00317F11" w:rsidP="0046558D">
            <w:pPr>
              <w:spacing w:before="120" w:after="120"/>
              <w:jc w:val="center"/>
              <w:rPr>
                <w:szCs w:val="28"/>
              </w:rPr>
            </w:pPr>
            <w:r w:rsidRPr="009C7C3B">
              <w:rPr>
                <w:szCs w:val="28"/>
              </w:rPr>
              <w:t>Năm 2021</w:t>
            </w:r>
          </w:p>
        </w:tc>
        <w:tc>
          <w:tcPr>
            <w:tcW w:w="1843" w:type="dxa"/>
            <w:shd w:val="clear" w:color="auto" w:fill="auto"/>
          </w:tcPr>
          <w:p w:rsidR="00317F11" w:rsidRPr="009C7C3B" w:rsidRDefault="00317F11" w:rsidP="00227CD5">
            <w:pPr>
              <w:spacing w:before="120" w:after="120"/>
              <w:jc w:val="center"/>
              <w:rPr>
                <w:szCs w:val="28"/>
              </w:rPr>
            </w:pPr>
            <w:r w:rsidRPr="009C7C3B">
              <w:rPr>
                <w:szCs w:val="28"/>
              </w:rPr>
              <w:t>Triệu đồng</w:t>
            </w:r>
          </w:p>
        </w:tc>
        <w:tc>
          <w:tcPr>
            <w:tcW w:w="2397" w:type="dxa"/>
            <w:shd w:val="clear" w:color="auto" w:fill="auto"/>
          </w:tcPr>
          <w:p w:rsidR="00317F11" w:rsidRPr="009C7C3B" w:rsidRDefault="00317F11" w:rsidP="00A10434">
            <w:pPr>
              <w:spacing w:before="120" w:after="120"/>
              <w:jc w:val="right"/>
              <w:rPr>
                <w:szCs w:val="28"/>
              </w:rPr>
            </w:pPr>
            <w:r>
              <w:rPr>
                <w:szCs w:val="28"/>
              </w:rPr>
              <w:t>3.379,65</w:t>
            </w:r>
          </w:p>
        </w:tc>
        <w:tc>
          <w:tcPr>
            <w:tcW w:w="2397" w:type="dxa"/>
            <w:shd w:val="clear" w:color="auto" w:fill="auto"/>
          </w:tcPr>
          <w:p w:rsidR="00317F11" w:rsidRPr="009C7C3B" w:rsidRDefault="00317F11" w:rsidP="00B83D47">
            <w:pPr>
              <w:spacing w:before="120" w:after="120"/>
              <w:jc w:val="right"/>
              <w:rPr>
                <w:szCs w:val="28"/>
              </w:rPr>
            </w:pPr>
            <w:r>
              <w:rPr>
                <w:szCs w:val="28"/>
              </w:rPr>
              <w:t>3.379,65</w:t>
            </w:r>
          </w:p>
        </w:tc>
      </w:tr>
      <w:tr w:rsidR="00317F11" w:rsidRPr="009C7C3B" w:rsidTr="00A10434">
        <w:trPr>
          <w:trHeight w:val="423"/>
          <w:jc w:val="center"/>
        </w:trPr>
        <w:tc>
          <w:tcPr>
            <w:tcW w:w="3235" w:type="dxa"/>
            <w:shd w:val="clear" w:color="auto" w:fill="auto"/>
          </w:tcPr>
          <w:p w:rsidR="00317F11" w:rsidRPr="009C7C3B" w:rsidRDefault="00317F11" w:rsidP="0046558D">
            <w:pPr>
              <w:spacing w:before="120" w:after="120"/>
              <w:jc w:val="center"/>
              <w:rPr>
                <w:szCs w:val="28"/>
              </w:rPr>
            </w:pPr>
            <w:r w:rsidRPr="009C7C3B">
              <w:rPr>
                <w:szCs w:val="28"/>
              </w:rPr>
              <w:t>Năm 2022</w:t>
            </w:r>
          </w:p>
        </w:tc>
        <w:tc>
          <w:tcPr>
            <w:tcW w:w="1843" w:type="dxa"/>
            <w:shd w:val="clear" w:color="auto" w:fill="auto"/>
          </w:tcPr>
          <w:p w:rsidR="00317F11" w:rsidRPr="009C7C3B" w:rsidRDefault="00317F11" w:rsidP="0046558D">
            <w:pPr>
              <w:spacing w:before="120" w:after="120"/>
              <w:jc w:val="center"/>
              <w:rPr>
                <w:szCs w:val="28"/>
              </w:rPr>
            </w:pPr>
            <w:r w:rsidRPr="009C7C3B">
              <w:rPr>
                <w:szCs w:val="28"/>
              </w:rPr>
              <w:t>Triệu đồng</w:t>
            </w:r>
          </w:p>
        </w:tc>
        <w:tc>
          <w:tcPr>
            <w:tcW w:w="2397" w:type="dxa"/>
            <w:shd w:val="clear" w:color="auto" w:fill="auto"/>
          </w:tcPr>
          <w:p w:rsidR="00317F11" w:rsidRPr="009C7C3B" w:rsidRDefault="00317F11" w:rsidP="00A10434">
            <w:pPr>
              <w:spacing w:before="120" w:after="120"/>
              <w:jc w:val="right"/>
              <w:rPr>
                <w:szCs w:val="28"/>
              </w:rPr>
            </w:pPr>
            <w:r>
              <w:rPr>
                <w:szCs w:val="28"/>
              </w:rPr>
              <w:t>3.482,25</w:t>
            </w:r>
          </w:p>
        </w:tc>
        <w:tc>
          <w:tcPr>
            <w:tcW w:w="2397" w:type="dxa"/>
            <w:shd w:val="clear" w:color="auto" w:fill="auto"/>
          </w:tcPr>
          <w:p w:rsidR="00317F11" w:rsidRPr="009C7C3B" w:rsidRDefault="00317F11" w:rsidP="00B83D47">
            <w:pPr>
              <w:spacing w:before="120" w:after="120"/>
              <w:jc w:val="right"/>
              <w:rPr>
                <w:szCs w:val="28"/>
              </w:rPr>
            </w:pPr>
            <w:r>
              <w:rPr>
                <w:szCs w:val="28"/>
              </w:rPr>
              <w:t>3.482,25</w:t>
            </w:r>
          </w:p>
        </w:tc>
      </w:tr>
      <w:tr w:rsidR="00317F11" w:rsidRPr="009C7C3B" w:rsidTr="00A10434">
        <w:trPr>
          <w:trHeight w:val="423"/>
          <w:jc w:val="center"/>
        </w:trPr>
        <w:tc>
          <w:tcPr>
            <w:tcW w:w="3235" w:type="dxa"/>
            <w:shd w:val="clear" w:color="auto" w:fill="auto"/>
          </w:tcPr>
          <w:p w:rsidR="00317F11" w:rsidRPr="009C7C3B" w:rsidRDefault="00317F11" w:rsidP="0046558D">
            <w:pPr>
              <w:spacing w:before="120" w:after="120"/>
              <w:jc w:val="center"/>
              <w:rPr>
                <w:szCs w:val="28"/>
              </w:rPr>
            </w:pPr>
            <w:r w:rsidRPr="009C7C3B">
              <w:rPr>
                <w:szCs w:val="28"/>
              </w:rPr>
              <w:t>Năm 2023</w:t>
            </w:r>
          </w:p>
        </w:tc>
        <w:tc>
          <w:tcPr>
            <w:tcW w:w="1843" w:type="dxa"/>
            <w:shd w:val="clear" w:color="auto" w:fill="auto"/>
          </w:tcPr>
          <w:p w:rsidR="00317F11" w:rsidRPr="009C7C3B" w:rsidRDefault="00317F11" w:rsidP="0046558D">
            <w:pPr>
              <w:spacing w:before="120" w:after="120"/>
              <w:jc w:val="center"/>
              <w:rPr>
                <w:szCs w:val="28"/>
              </w:rPr>
            </w:pPr>
            <w:r w:rsidRPr="009C7C3B">
              <w:rPr>
                <w:szCs w:val="28"/>
              </w:rPr>
              <w:t>Triệu đồng</w:t>
            </w:r>
          </w:p>
        </w:tc>
        <w:tc>
          <w:tcPr>
            <w:tcW w:w="2397" w:type="dxa"/>
            <w:shd w:val="clear" w:color="auto" w:fill="auto"/>
          </w:tcPr>
          <w:p w:rsidR="00317F11" w:rsidRPr="009C7C3B" w:rsidRDefault="00317F11" w:rsidP="00607A19">
            <w:pPr>
              <w:spacing w:before="120" w:after="120"/>
              <w:jc w:val="right"/>
              <w:rPr>
                <w:szCs w:val="28"/>
              </w:rPr>
            </w:pPr>
            <w:r w:rsidRPr="009C7C3B">
              <w:rPr>
                <w:szCs w:val="28"/>
              </w:rPr>
              <w:t>3.210,82</w:t>
            </w:r>
          </w:p>
        </w:tc>
        <w:tc>
          <w:tcPr>
            <w:tcW w:w="2397" w:type="dxa"/>
            <w:shd w:val="clear" w:color="auto" w:fill="auto"/>
          </w:tcPr>
          <w:p w:rsidR="00317F11" w:rsidRPr="009C7C3B" w:rsidRDefault="00317F11" w:rsidP="00B83D47">
            <w:pPr>
              <w:spacing w:before="120" w:after="120"/>
              <w:jc w:val="right"/>
              <w:rPr>
                <w:szCs w:val="28"/>
              </w:rPr>
            </w:pPr>
            <w:r w:rsidRPr="009C7C3B">
              <w:rPr>
                <w:szCs w:val="28"/>
              </w:rPr>
              <w:t>3.210,82</w:t>
            </w:r>
          </w:p>
        </w:tc>
      </w:tr>
      <w:tr w:rsidR="00317F11" w:rsidRPr="009C7C3B" w:rsidTr="00A10434">
        <w:trPr>
          <w:trHeight w:val="423"/>
          <w:jc w:val="center"/>
        </w:trPr>
        <w:tc>
          <w:tcPr>
            <w:tcW w:w="3235" w:type="dxa"/>
            <w:shd w:val="clear" w:color="auto" w:fill="auto"/>
          </w:tcPr>
          <w:p w:rsidR="00317F11" w:rsidRPr="009C7C3B" w:rsidRDefault="00317F11" w:rsidP="0046558D">
            <w:pPr>
              <w:spacing w:before="120" w:after="120"/>
              <w:jc w:val="center"/>
              <w:rPr>
                <w:szCs w:val="28"/>
              </w:rPr>
            </w:pPr>
            <w:r w:rsidRPr="009C7C3B">
              <w:rPr>
                <w:szCs w:val="28"/>
              </w:rPr>
              <w:t>Năm 2024</w:t>
            </w:r>
          </w:p>
        </w:tc>
        <w:tc>
          <w:tcPr>
            <w:tcW w:w="1843" w:type="dxa"/>
            <w:shd w:val="clear" w:color="auto" w:fill="auto"/>
          </w:tcPr>
          <w:p w:rsidR="00317F11" w:rsidRPr="009C7C3B" w:rsidRDefault="00317F11" w:rsidP="0046558D">
            <w:pPr>
              <w:spacing w:before="120" w:after="120"/>
              <w:jc w:val="center"/>
              <w:rPr>
                <w:szCs w:val="28"/>
              </w:rPr>
            </w:pPr>
            <w:r w:rsidRPr="009C7C3B">
              <w:rPr>
                <w:szCs w:val="28"/>
              </w:rPr>
              <w:t>Triệu đồng</w:t>
            </w:r>
          </w:p>
        </w:tc>
        <w:tc>
          <w:tcPr>
            <w:tcW w:w="2397" w:type="dxa"/>
            <w:shd w:val="clear" w:color="auto" w:fill="auto"/>
          </w:tcPr>
          <w:p w:rsidR="00317F11" w:rsidRPr="009C7C3B" w:rsidRDefault="00317F11" w:rsidP="00A10434">
            <w:pPr>
              <w:spacing w:before="120" w:after="120"/>
              <w:jc w:val="right"/>
              <w:rPr>
                <w:szCs w:val="28"/>
              </w:rPr>
            </w:pPr>
            <w:r w:rsidRPr="009C7C3B">
              <w:rPr>
                <w:szCs w:val="28"/>
              </w:rPr>
              <w:t>2.407,60</w:t>
            </w:r>
          </w:p>
        </w:tc>
        <w:tc>
          <w:tcPr>
            <w:tcW w:w="2397" w:type="dxa"/>
            <w:shd w:val="clear" w:color="auto" w:fill="auto"/>
          </w:tcPr>
          <w:p w:rsidR="00317F11" w:rsidRPr="009C7C3B" w:rsidRDefault="00317F11" w:rsidP="00B83D47">
            <w:pPr>
              <w:spacing w:before="120" w:after="120"/>
              <w:jc w:val="right"/>
              <w:rPr>
                <w:szCs w:val="28"/>
              </w:rPr>
            </w:pPr>
            <w:r w:rsidRPr="009C7C3B">
              <w:rPr>
                <w:szCs w:val="28"/>
              </w:rPr>
              <w:t>2.4</w:t>
            </w:r>
            <w:bookmarkStart w:id="0" w:name="_GoBack"/>
            <w:bookmarkEnd w:id="0"/>
            <w:r w:rsidRPr="009C7C3B">
              <w:rPr>
                <w:szCs w:val="28"/>
              </w:rPr>
              <w:t>07,60</w:t>
            </w:r>
          </w:p>
        </w:tc>
      </w:tr>
      <w:tr w:rsidR="00317F11" w:rsidRPr="009C7C3B" w:rsidTr="00A10434">
        <w:trPr>
          <w:jc w:val="center"/>
        </w:trPr>
        <w:tc>
          <w:tcPr>
            <w:tcW w:w="3235" w:type="dxa"/>
            <w:shd w:val="clear" w:color="auto" w:fill="auto"/>
          </w:tcPr>
          <w:p w:rsidR="00317F11" w:rsidRPr="009C7C3B" w:rsidRDefault="00317F11" w:rsidP="0046558D">
            <w:pPr>
              <w:spacing w:before="120" w:after="120"/>
              <w:jc w:val="center"/>
              <w:rPr>
                <w:szCs w:val="28"/>
              </w:rPr>
            </w:pPr>
            <w:r w:rsidRPr="009C7C3B">
              <w:rPr>
                <w:szCs w:val="28"/>
              </w:rPr>
              <w:t>09 tháng đầu năm 2025</w:t>
            </w:r>
          </w:p>
        </w:tc>
        <w:tc>
          <w:tcPr>
            <w:tcW w:w="1843" w:type="dxa"/>
            <w:shd w:val="clear" w:color="auto" w:fill="auto"/>
          </w:tcPr>
          <w:p w:rsidR="00317F11" w:rsidRPr="009C7C3B" w:rsidRDefault="00317F11" w:rsidP="0046558D">
            <w:pPr>
              <w:spacing w:before="120" w:after="120"/>
              <w:jc w:val="center"/>
              <w:rPr>
                <w:szCs w:val="28"/>
              </w:rPr>
            </w:pPr>
            <w:r w:rsidRPr="009C7C3B">
              <w:rPr>
                <w:szCs w:val="28"/>
              </w:rPr>
              <w:t>Triệu đồng</w:t>
            </w:r>
          </w:p>
        </w:tc>
        <w:tc>
          <w:tcPr>
            <w:tcW w:w="2397" w:type="dxa"/>
            <w:shd w:val="clear" w:color="auto" w:fill="auto"/>
          </w:tcPr>
          <w:p w:rsidR="00317F11" w:rsidRPr="009C7C3B" w:rsidRDefault="00317F11" w:rsidP="0046558D">
            <w:pPr>
              <w:spacing w:before="120" w:after="120"/>
              <w:jc w:val="right"/>
              <w:rPr>
                <w:szCs w:val="28"/>
              </w:rPr>
            </w:pPr>
            <w:r w:rsidRPr="009C7C3B">
              <w:rPr>
                <w:szCs w:val="28"/>
              </w:rPr>
              <w:t>1.813,52</w:t>
            </w:r>
          </w:p>
        </w:tc>
        <w:tc>
          <w:tcPr>
            <w:tcW w:w="2397" w:type="dxa"/>
            <w:shd w:val="clear" w:color="auto" w:fill="auto"/>
          </w:tcPr>
          <w:p w:rsidR="00317F11" w:rsidRPr="009C7C3B" w:rsidRDefault="00317F11" w:rsidP="00B83D47">
            <w:pPr>
              <w:spacing w:before="120" w:after="120"/>
              <w:jc w:val="right"/>
              <w:rPr>
                <w:szCs w:val="28"/>
              </w:rPr>
            </w:pPr>
            <w:r w:rsidRPr="009C7C3B">
              <w:rPr>
                <w:szCs w:val="28"/>
              </w:rPr>
              <w:t>1.813,52</w:t>
            </w:r>
          </w:p>
        </w:tc>
      </w:tr>
      <w:tr w:rsidR="00433ECF" w:rsidRPr="00A10434" w:rsidTr="00A10434">
        <w:trPr>
          <w:trHeight w:val="481"/>
          <w:jc w:val="center"/>
        </w:trPr>
        <w:tc>
          <w:tcPr>
            <w:tcW w:w="3235" w:type="dxa"/>
            <w:shd w:val="clear" w:color="auto" w:fill="auto"/>
          </w:tcPr>
          <w:p w:rsidR="00433ECF" w:rsidRPr="009C7C3B" w:rsidRDefault="00433ECF" w:rsidP="0046558D">
            <w:pPr>
              <w:spacing w:before="120" w:after="120"/>
              <w:jc w:val="center"/>
              <w:rPr>
                <w:b/>
                <w:szCs w:val="28"/>
              </w:rPr>
            </w:pPr>
            <w:r w:rsidRPr="009C7C3B">
              <w:rPr>
                <w:b/>
                <w:szCs w:val="28"/>
              </w:rPr>
              <w:t>TỔNG</w:t>
            </w:r>
          </w:p>
        </w:tc>
        <w:tc>
          <w:tcPr>
            <w:tcW w:w="1843" w:type="dxa"/>
            <w:shd w:val="clear" w:color="auto" w:fill="auto"/>
          </w:tcPr>
          <w:p w:rsidR="00433ECF" w:rsidRPr="009C7C3B" w:rsidRDefault="00433ECF" w:rsidP="0046558D">
            <w:pPr>
              <w:spacing w:before="120" w:after="120"/>
              <w:jc w:val="center"/>
              <w:rPr>
                <w:b/>
                <w:szCs w:val="28"/>
              </w:rPr>
            </w:pPr>
            <w:r w:rsidRPr="009C7C3B">
              <w:rPr>
                <w:b/>
                <w:szCs w:val="28"/>
              </w:rPr>
              <w:t>Triệu đồng</w:t>
            </w:r>
          </w:p>
        </w:tc>
        <w:tc>
          <w:tcPr>
            <w:tcW w:w="2397" w:type="dxa"/>
            <w:shd w:val="clear" w:color="auto" w:fill="auto"/>
          </w:tcPr>
          <w:p w:rsidR="00433ECF" w:rsidRPr="009C7C3B" w:rsidRDefault="00317F11" w:rsidP="00334B29">
            <w:pPr>
              <w:spacing w:before="120" w:after="120"/>
              <w:jc w:val="right"/>
              <w:rPr>
                <w:b/>
                <w:szCs w:val="28"/>
              </w:rPr>
            </w:pPr>
            <w:r>
              <w:rPr>
                <w:b/>
                <w:szCs w:val="28"/>
              </w:rPr>
              <w:t>14.293,84</w:t>
            </w:r>
          </w:p>
        </w:tc>
        <w:tc>
          <w:tcPr>
            <w:tcW w:w="2397" w:type="dxa"/>
            <w:shd w:val="clear" w:color="auto" w:fill="auto"/>
          </w:tcPr>
          <w:p w:rsidR="00433ECF" w:rsidRPr="009C7C3B" w:rsidRDefault="00317F11" w:rsidP="00334B29">
            <w:pPr>
              <w:spacing w:before="120" w:after="120"/>
              <w:jc w:val="right"/>
              <w:rPr>
                <w:b/>
                <w:szCs w:val="28"/>
              </w:rPr>
            </w:pPr>
            <w:r>
              <w:rPr>
                <w:b/>
                <w:szCs w:val="28"/>
              </w:rPr>
              <w:t>14.293,84</w:t>
            </w:r>
          </w:p>
        </w:tc>
      </w:tr>
    </w:tbl>
    <w:p w:rsidR="00AD4851" w:rsidRPr="002634DF" w:rsidRDefault="00227CD5" w:rsidP="00AD4851">
      <w:pPr>
        <w:spacing w:before="120"/>
        <w:ind w:firstLine="709"/>
        <w:jc w:val="both"/>
        <w:rPr>
          <w:rFonts w:eastAsia="Courier New"/>
          <w:highlight w:val="yellow"/>
          <w:lang w:eastAsia="vi-VN"/>
        </w:rPr>
      </w:pPr>
      <w:r w:rsidRPr="009C7C3B">
        <w:rPr>
          <w:rFonts w:eastAsia="Courier New"/>
          <w:lang w:eastAsia="vi-VN"/>
        </w:rPr>
        <w:t>Tính đến nay, tổng số giấy phép lao động đã được cấ</w:t>
      </w:r>
      <w:r w:rsidR="00433ECF" w:rsidRPr="009C7C3B">
        <w:rPr>
          <w:rFonts w:eastAsia="Courier New"/>
          <w:lang w:eastAsia="vi-VN"/>
        </w:rPr>
        <w:t>p là 28.785</w:t>
      </w:r>
      <w:r w:rsidRPr="009C7C3B">
        <w:rPr>
          <w:rFonts w:eastAsia="Courier New"/>
          <w:lang w:eastAsia="vi-VN"/>
        </w:rPr>
        <w:t xml:space="preserve"> giấy phép, với số tiền thu được từ hoạt động cấp phép là </w:t>
      </w:r>
      <w:r w:rsidR="009C7C3B" w:rsidRPr="009C7C3B">
        <w:rPr>
          <w:rFonts w:eastAsia="Courier New"/>
          <w:lang w:eastAsia="vi-VN"/>
        </w:rPr>
        <w:t>14.510,44</w:t>
      </w:r>
      <w:r w:rsidRPr="009C7C3B">
        <w:rPr>
          <w:rFonts w:eastAsia="Courier New"/>
          <w:lang w:eastAsia="vi-VN"/>
        </w:rPr>
        <w:t xml:space="preserve"> triệu đồng. Trong</w:t>
      </w:r>
      <w:r w:rsidRPr="00227CD5">
        <w:rPr>
          <w:rFonts w:eastAsia="Courier New"/>
          <w:lang w:eastAsia="vi-VN"/>
        </w:rPr>
        <w:t xml:space="preserve"> </w:t>
      </w:r>
      <w:r w:rsidRPr="00227CD5">
        <w:rPr>
          <w:rFonts w:eastAsia="Courier New"/>
          <w:lang w:eastAsia="vi-VN"/>
        </w:rPr>
        <w:lastRenderedPageBreak/>
        <w:t>đó, toàn bộ số tiền thu từ lệ phí cấp giấy phép lao động đã được nộp 100% vào ngân sách nhà nước theo quy định, góp phần bổ sung nguồn kinh phí cho các hoạt động quản lý tại địa phương. Từ năm 2021 đến nay, việc thu lệ phí cấp giấy phép lao động cho người nước ngoài cơ bản đã đáp ứng được yêu cầu về tài chính phục vụ công tác quản lý nhà nước trong lĩnh vực này, đồng thời hỗ trợ chi phí cho hoạt động tiếp nhận, xử lý thủ tục hành chính liên quan đến cấp phép lao động</w:t>
      </w:r>
      <w:r>
        <w:rPr>
          <w:rFonts w:eastAsia="Courier New"/>
          <w:lang w:eastAsia="vi-VN"/>
        </w:rPr>
        <w:t>.</w:t>
      </w:r>
    </w:p>
    <w:p w:rsidR="00D43D09" w:rsidRDefault="00D43D09" w:rsidP="00D43D09">
      <w:pPr>
        <w:spacing w:before="120"/>
        <w:ind w:firstLine="709"/>
        <w:rPr>
          <w:b/>
        </w:rPr>
      </w:pPr>
      <w:r>
        <w:rPr>
          <w:b/>
        </w:rPr>
        <w:t>3. Khó khăn, vướng mắc và nguyên nhân</w:t>
      </w:r>
    </w:p>
    <w:p w:rsidR="002D26A6" w:rsidRDefault="002D26A6" w:rsidP="002D26A6">
      <w:pPr>
        <w:spacing w:before="120"/>
        <w:ind w:firstLine="709"/>
        <w:jc w:val="both"/>
      </w:pPr>
      <w:r>
        <w:t>Kể từ ngày 01 tháng 7 năm 2025, trên địa bàn tỉnh phát sinh sự chênh lệch về mức thu lệ phí cấp giấy phép lao động cho người lao động nước ngoài khi thực hiện thủ tục hành chính qua hình thức nộp trực tuyến trên Cổng Dịch vụ công Quốc gia. Cụ thể: đối với các doanh nghiệp có trụ sở trên địa bàn tỉnh Đồng Nai (trước sắp xếp), mức thu lệ phí được áp dụng bằng 50% theo quy định tại Nghị quyết số 07/2021/NQ-HĐND; trong khi đó, các doanh nghiệp có địa chỉ tại tỉnh Bình Phước (trước sắp xếp) được áp dụng mức lệ phí là 0 đồng theo Nghị quyết số 03/2025/NQ-HĐND.</w:t>
      </w:r>
    </w:p>
    <w:p w:rsidR="002D26A6" w:rsidRPr="002D26A6" w:rsidRDefault="002D26A6" w:rsidP="002D26A6">
      <w:pPr>
        <w:spacing w:before="120"/>
        <w:ind w:firstLine="709"/>
        <w:jc w:val="both"/>
      </w:pPr>
      <w:r>
        <w:t>Tình trạng chênh lệch này dẫn đến sự thiếu thống nhất trong áp dụng chính sách trên cùng một đơn vị hành chính, gây ra bất bình đẳng giữa các doanh nghiệp trong quá trình thực hiện thủ tục hành chính. Do đó, cần thiết phải ban hành quy định thống nhất về mức thu lệ phí cấp giấy phép lao động cho người nước ngoài trên toàn địa bàn tỉnh Đồng Nai (sau sắp xếp), nhằm bảo đảm tính công bằng, minh bạch và phù hợp với chủ trương cải cách hành chính, chuyển đổi số và phát triển môi trường đầu tư, kinh doanh của tỉnh</w:t>
      </w:r>
      <w:r w:rsidR="003C7899">
        <w:t>.</w:t>
      </w:r>
    </w:p>
    <w:p w:rsidR="00D43D09" w:rsidRPr="0060314C" w:rsidRDefault="00D43D09" w:rsidP="00D43D09">
      <w:pPr>
        <w:spacing w:before="120"/>
        <w:ind w:firstLine="709"/>
        <w:rPr>
          <w:b/>
        </w:rPr>
      </w:pPr>
      <w:r>
        <w:rPr>
          <w:b/>
        </w:rPr>
        <w:t>4</w:t>
      </w:r>
      <w:r w:rsidRPr="0060314C">
        <w:rPr>
          <w:b/>
        </w:rPr>
        <w:t>. Xác định những vấn đề mới phát sinh trong thực tiễn</w:t>
      </w:r>
    </w:p>
    <w:p w:rsidR="006669C1" w:rsidRPr="006669C1" w:rsidRDefault="00C10A8F" w:rsidP="006669C1">
      <w:pPr>
        <w:spacing w:before="120"/>
        <w:ind w:firstLine="709"/>
        <w:jc w:val="both"/>
      </w:pPr>
      <w:r w:rsidRPr="006669C1">
        <w:t>Từ ngày 01/7/2025, tỉnh Đồng Nai được thành lập trên cơ sở sáp nhập tỉnh Đồng Nai (trước sắp xếp) và tỉnh Bình Phước theo quy định tại Nghị quyết số 202/2025/QH15 ngày 12/6/2025 của Quốc hội.</w:t>
      </w:r>
      <w:r w:rsidR="006669C1" w:rsidRPr="006669C1">
        <w:t xml:space="preserve"> S</w:t>
      </w:r>
      <w:r w:rsidRPr="006669C1">
        <w:t>au khi thực hiện sắp xếp đơn vị hành chính cấp tỉnh, trên địa bàn tỉnh Đồng Nai (sau sắp xếp) đã phát sinh một số vấn đề mới cần được xem xét, điều chỉnh kịp thời để bảo đảm thống nhất trong quản lý nhà nước và thực thi chính sách pháp luật. Cụ thể</w:t>
      </w:r>
      <w:r w:rsidR="006669C1" w:rsidRPr="006669C1">
        <w:t xml:space="preserve"> như sau:</w:t>
      </w:r>
    </w:p>
    <w:p w:rsidR="006669C1" w:rsidRPr="006669C1" w:rsidRDefault="006669C1" w:rsidP="006669C1">
      <w:pPr>
        <w:spacing w:before="120"/>
        <w:ind w:firstLine="709"/>
        <w:jc w:val="both"/>
      </w:pPr>
      <w:r w:rsidRPr="006669C1">
        <w:t xml:space="preserve">- </w:t>
      </w:r>
      <w:r>
        <w:t>Hội đồng nhân dân c</w:t>
      </w:r>
      <w:r w:rsidR="00C10A8F" w:rsidRPr="006669C1">
        <w:t xml:space="preserve">hưa có Nghị quyết mới quy định thống nhất về mức thu phí, lệ phí trên địa bàn toàn tỉnh nên hiện nay các cơ quan, đơn vị vẫn đang áp dụng song song các nghị quyết của Hội đồng nhân dân tỉnh Đồng Nai (trước sắp xếp) và tỉnh Bình Phước (trước sắp xếp). </w:t>
      </w:r>
    </w:p>
    <w:p w:rsidR="006669C1" w:rsidRPr="006669C1" w:rsidRDefault="006669C1" w:rsidP="006669C1">
      <w:pPr>
        <w:spacing w:before="120"/>
        <w:ind w:firstLine="709"/>
        <w:jc w:val="both"/>
      </w:pPr>
      <w:r w:rsidRPr="006669C1">
        <w:t>- Căn cứ</w:t>
      </w:r>
      <w:r w:rsidR="00C10A8F" w:rsidRPr="006669C1">
        <w:t xml:space="preserve"> pháp luật chuyên ngành cũng có sự thay đổi khi Nghị định số 219/2025/NĐ-CP của Chính phủ chính thức có hiệu lực từ ngày 07 tháng 8 năm 2025, thay thế toàn bộ các quy định trước đây tại Nghị định số 152/2020/NĐ-CP và Nghị định số 70/2023/NĐ-CP. Sự thay đổi này đòi hỏi phải cập nhật lại căn cứ pháp lý trong xây dựng và ban hành các văn bản quy phạm pháp luật về lệ phí cấp giấy phép lao động cho người nước ngoài.</w:t>
      </w:r>
    </w:p>
    <w:p w:rsidR="00C10A8F" w:rsidRPr="006669C1" w:rsidRDefault="006669C1" w:rsidP="006669C1">
      <w:pPr>
        <w:spacing w:before="120"/>
        <w:ind w:firstLine="709"/>
        <w:jc w:val="both"/>
      </w:pPr>
      <w:r w:rsidRPr="006669C1">
        <w:t>-</w:t>
      </w:r>
      <w:r w:rsidR="00C10A8F" w:rsidRPr="006669C1">
        <w:t xml:space="preserve"> Đồng thời, để triển khai hiệu quả chủ trương của Chính phủ và Đề án 06 về chuyển đổi số quốc gia, việc áp dụng chính sách miễn, giảm lệ phí (0 đồng) </w:t>
      </w:r>
      <w:r w:rsidR="00C10A8F" w:rsidRPr="006669C1">
        <w:lastRenderedPageBreak/>
        <w:t xml:space="preserve">khi thực hiện thủ tục hành chính trực tuyến cũng cần được thể chế hóa rõ ràng tại </w:t>
      </w:r>
      <w:r w:rsidR="003D045D">
        <w:t>N</w:t>
      </w:r>
      <w:r w:rsidR="00C10A8F" w:rsidRPr="006669C1">
        <w:t>ghị quyết mới của Hội đồng nhân dân tỉnh.</w:t>
      </w:r>
    </w:p>
    <w:p w:rsidR="00D43D09" w:rsidRPr="00D43D09" w:rsidRDefault="00D43D09" w:rsidP="00D43D09">
      <w:pPr>
        <w:spacing w:before="120"/>
        <w:ind w:firstLine="709"/>
        <w:jc w:val="both"/>
        <w:rPr>
          <w:b/>
          <w:spacing w:val="-2"/>
        </w:rPr>
      </w:pPr>
      <w:r w:rsidRPr="00D43D09">
        <w:rPr>
          <w:b/>
          <w:spacing w:val="-2"/>
        </w:rPr>
        <w:t>III. ĐỀ XUẤT, KIẾN NGHỊ</w:t>
      </w:r>
    </w:p>
    <w:p w:rsidR="00D43D09" w:rsidRPr="008C43A6" w:rsidRDefault="008C43A6" w:rsidP="008C43A6">
      <w:pPr>
        <w:spacing w:before="120"/>
        <w:ind w:firstLine="709"/>
        <w:jc w:val="both"/>
        <w:rPr>
          <w:spacing w:val="-2"/>
        </w:rPr>
      </w:pPr>
      <w:r w:rsidRPr="008C43A6">
        <w:rPr>
          <w:spacing w:val="-2"/>
        </w:rPr>
        <w:t>Ủy ban nhân dân tỉnh kiến nghị Hội đồng nhân dân tỉnh ban hành Nghị quyết mới thay thế Nghị quyết số 07/2021/NQ-HĐND và Nghị quyết số 24/2021/NQ-HĐND. Việc ban hành Nghị quyết mới nhằm thống nhất mức thu, miễn, giảm lệ phí cấp giấy phép lao động cho người lao động nước ngoài giữa địa bàn tỉnh Đồng Nai (trước khi sắp xếp) và tỉnh Bình Phướ</w:t>
      </w:r>
      <w:r>
        <w:rPr>
          <w:spacing w:val="-2"/>
        </w:rPr>
        <w:t xml:space="preserve">c. </w:t>
      </w:r>
      <w:r w:rsidRPr="008C43A6">
        <w:rPr>
          <w:spacing w:val="-2"/>
        </w:rPr>
        <w:t>Nghị quyết mới sẽ tạo cơ sở pháp lý để thực hiện việc thu lệ phí cấp giấy phép lao động cho người lao động nước ngoài trên địa bàn tỉnh trong giai đoạn tiếp theo, bảo đảm tính thống nhất, đồng bộ và phù hợp với quy định của pháp luật.</w:t>
      </w:r>
    </w:p>
    <w:p w:rsidR="00D43D09" w:rsidRPr="001B4E13" w:rsidRDefault="00D43D09" w:rsidP="00D41D2B">
      <w:pPr>
        <w:spacing w:before="120"/>
        <w:ind w:firstLine="709"/>
        <w:jc w:val="both"/>
        <w:rPr>
          <w:spacing w:val="-2"/>
        </w:rPr>
      </w:pPr>
      <w:r w:rsidRPr="001B4E13">
        <w:rPr>
          <w:spacing w:val="-2"/>
        </w:rPr>
        <w:t xml:space="preserve">Trên đây là báo cáo tổng kết </w:t>
      </w:r>
      <w:r w:rsidR="00D41D2B" w:rsidRPr="001B4E13">
        <w:rPr>
          <w:spacing w:val="-2"/>
        </w:rPr>
        <w:t>thi hành Nghị quyết số 07/2021/NQ-HĐND  ngày 30 tháng 7 năm 2021 của Hội đồng nhân dân tỉnh Đồng Nai (trước sắp xếp) và Nghị quyết số 24/2021/NQ-HĐND ngày 07 tháng 12 năm 2021 của Hội đồng nhân dân tỉnh Bình Phước</w:t>
      </w:r>
      <w:r w:rsidRPr="001B4E13">
        <w:rPr>
          <w:spacing w:val="-2"/>
        </w:rPr>
        <w:t xml:space="preserve">, </w:t>
      </w:r>
      <w:r w:rsidR="00D41D2B" w:rsidRPr="001B4E13">
        <w:rPr>
          <w:spacing w:val="-2"/>
        </w:rPr>
        <w:t>Ủy ban nhân dân tỉnh báo cáo Thường trực Hội đồng nhân dân tỉnh</w:t>
      </w:r>
      <w:r w:rsidRPr="001B4E13">
        <w:rPr>
          <w:spacing w:val="-2"/>
        </w:rPr>
        <w:t>./.</w:t>
      </w:r>
    </w:p>
    <w:p w:rsidR="00D43D09" w:rsidRDefault="00D43D09" w:rsidP="00D43D09">
      <w:pPr>
        <w:jc w:val="both"/>
        <w:rPr>
          <w:spacing w:val="-2"/>
        </w:rPr>
      </w:pPr>
    </w:p>
    <w:tbl>
      <w:tblPr>
        <w:tblW w:w="0" w:type="auto"/>
        <w:tblLook w:val="01E0" w:firstRow="1" w:lastRow="1" w:firstColumn="1" w:lastColumn="1" w:noHBand="0" w:noVBand="0"/>
      </w:tblPr>
      <w:tblGrid>
        <w:gridCol w:w="4428"/>
        <w:gridCol w:w="4428"/>
      </w:tblGrid>
      <w:tr w:rsidR="00D43D09" w:rsidRPr="003D1AFA" w:rsidTr="008650C2">
        <w:trPr>
          <w:trHeight w:val="767"/>
        </w:trPr>
        <w:tc>
          <w:tcPr>
            <w:tcW w:w="4428" w:type="dxa"/>
          </w:tcPr>
          <w:p w:rsidR="00D43D09" w:rsidRPr="003D1AFA" w:rsidRDefault="00D43D09" w:rsidP="008650C2">
            <w:pPr>
              <w:tabs>
                <w:tab w:val="right" w:leader="dot" w:pos="8640"/>
              </w:tabs>
              <w:rPr>
                <w:sz w:val="22"/>
                <w:szCs w:val="22"/>
              </w:rPr>
            </w:pPr>
            <w:r w:rsidRPr="00AD4851">
              <w:rPr>
                <w:rFonts w:eastAsia="Times New Roman"/>
                <w:b/>
                <w:i/>
                <w:sz w:val="24"/>
              </w:rPr>
              <w:t>Nơi nhận:</w:t>
            </w:r>
            <w:r w:rsidRPr="00AD4851">
              <w:rPr>
                <w:rFonts w:eastAsia="Times New Roman"/>
                <w:b/>
                <w:i/>
                <w:sz w:val="24"/>
                <w:szCs w:val="28"/>
              </w:rPr>
              <w:br/>
            </w:r>
            <w:r w:rsidRPr="003D1AFA">
              <w:rPr>
                <w:rFonts w:eastAsia="Times New Roman"/>
                <w:sz w:val="22"/>
                <w:szCs w:val="22"/>
              </w:rPr>
              <w:t>- Như trên;</w:t>
            </w:r>
            <w:r w:rsidRPr="003D1AFA">
              <w:rPr>
                <w:rFonts w:eastAsia="Times New Roman"/>
                <w:sz w:val="22"/>
                <w:szCs w:val="22"/>
              </w:rPr>
              <w:br/>
            </w:r>
            <w:r w:rsidRPr="003D1AFA">
              <w:rPr>
                <w:sz w:val="22"/>
                <w:szCs w:val="22"/>
              </w:rPr>
              <w:t>- C</w:t>
            </w:r>
            <w:r>
              <w:rPr>
                <w:sz w:val="22"/>
                <w:szCs w:val="22"/>
              </w:rPr>
              <w:t>hủ tịch</w:t>
            </w:r>
            <w:r w:rsidRPr="003D1AFA">
              <w:rPr>
                <w:sz w:val="22"/>
                <w:szCs w:val="22"/>
              </w:rPr>
              <w:t>, PCT. UBND tỉnh:</w:t>
            </w:r>
          </w:p>
          <w:p w:rsidR="00D43D09" w:rsidRPr="003D1AFA" w:rsidRDefault="00D43D09" w:rsidP="008650C2">
            <w:pPr>
              <w:tabs>
                <w:tab w:val="right" w:leader="dot" w:pos="8640"/>
              </w:tabs>
              <w:rPr>
                <w:sz w:val="22"/>
                <w:szCs w:val="22"/>
              </w:rPr>
            </w:pPr>
            <w:r w:rsidRPr="003D1AFA">
              <w:rPr>
                <w:sz w:val="22"/>
                <w:szCs w:val="22"/>
              </w:rPr>
              <w:t>- Ban Kinh tế - Ngân sách HĐND tỉnh;</w:t>
            </w:r>
          </w:p>
          <w:p w:rsidR="00D43D09" w:rsidRPr="003D1AFA" w:rsidRDefault="00D43D09" w:rsidP="008650C2">
            <w:pPr>
              <w:tabs>
                <w:tab w:val="right" w:leader="dot" w:pos="8640"/>
              </w:tabs>
              <w:rPr>
                <w:sz w:val="22"/>
                <w:szCs w:val="22"/>
              </w:rPr>
            </w:pPr>
            <w:r w:rsidRPr="003D1AFA">
              <w:rPr>
                <w:sz w:val="22"/>
                <w:szCs w:val="22"/>
              </w:rPr>
              <w:t>- Ban Pháp chế HĐND tỉnh;</w:t>
            </w:r>
          </w:p>
          <w:p w:rsidR="00D43D09" w:rsidRPr="003D1AFA" w:rsidRDefault="00D43D09" w:rsidP="008650C2">
            <w:pPr>
              <w:tabs>
                <w:tab w:val="right" w:leader="dot" w:pos="8640"/>
              </w:tabs>
              <w:rPr>
                <w:sz w:val="22"/>
                <w:szCs w:val="22"/>
              </w:rPr>
            </w:pPr>
            <w:r>
              <w:rPr>
                <w:sz w:val="22"/>
                <w:szCs w:val="22"/>
              </w:rPr>
              <w:t>- Các sở: Tư pháp, Tài chính, Nội vụ</w:t>
            </w:r>
            <w:r w:rsidRPr="003D1AFA">
              <w:rPr>
                <w:sz w:val="22"/>
                <w:szCs w:val="22"/>
              </w:rPr>
              <w:t>;</w:t>
            </w:r>
          </w:p>
          <w:p w:rsidR="00D43D09" w:rsidRPr="003D1AFA" w:rsidRDefault="00D43D09" w:rsidP="00E00F9C">
            <w:pPr>
              <w:tabs>
                <w:tab w:val="right" w:leader="dot" w:pos="8640"/>
              </w:tabs>
              <w:rPr>
                <w:rFonts w:eastAsia="Times New Roman"/>
                <w:szCs w:val="28"/>
              </w:rPr>
            </w:pPr>
            <w:r w:rsidRPr="003D1AFA">
              <w:rPr>
                <w:sz w:val="22"/>
                <w:szCs w:val="22"/>
              </w:rPr>
              <w:t>- Lưu: VT</w:t>
            </w:r>
            <w:r w:rsidR="00E00F9C">
              <w:rPr>
                <w:sz w:val="22"/>
                <w:szCs w:val="22"/>
              </w:rPr>
              <w:t>, KTNS, KGVX</w:t>
            </w:r>
            <w:r w:rsidRPr="00E00F9C">
              <w:rPr>
                <w:sz w:val="22"/>
                <w:szCs w:val="22"/>
                <w:vertAlign w:val="subscript"/>
              </w:rPr>
              <w:t>.</w:t>
            </w:r>
          </w:p>
        </w:tc>
        <w:tc>
          <w:tcPr>
            <w:tcW w:w="4428" w:type="dxa"/>
          </w:tcPr>
          <w:p w:rsidR="00D43D09" w:rsidRPr="003D1AFA" w:rsidRDefault="00D43D09" w:rsidP="008650C2">
            <w:pPr>
              <w:spacing w:before="120"/>
              <w:jc w:val="center"/>
              <w:rPr>
                <w:rFonts w:eastAsia="Times New Roman"/>
                <w:b/>
                <w:szCs w:val="28"/>
              </w:rPr>
            </w:pPr>
            <w:r w:rsidRPr="003D1AFA">
              <w:rPr>
                <w:rFonts w:eastAsia="Times New Roman"/>
                <w:b/>
                <w:szCs w:val="28"/>
              </w:rPr>
              <w:t xml:space="preserve">TM. ỦY BAN NHÂN DÂN </w:t>
            </w:r>
          </w:p>
          <w:p w:rsidR="00AD4851" w:rsidRDefault="00D43D09" w:rsidP="008650C2">
            <w:pPr>
              <w:jc w:val="center"/>
              <w:rPr>
                <w:rFonts w:eastAsia="Times New Roman"/>
                <w:b/>
                <w:szCs w:val="28"/>
              </w:rPr>
            </w:pPr>
            <w:r>
              <w:rPr>
                <w:rFonts w:eastAsia="Times New Roman"/>
                <w:b/>
                <w:szCs w:val="28"/>
              </w:rPr>
              <w:t xml:space="preserve">KT. </w:t>
            </w:r>
            <w:r w:rsidRPr="003D1AFA">
              <w:rPr>
                <w:rFonts w:eastAsia="Times New Roman"/>
                <w:b/>
                <w:szCs w:val="28"/>
              </w:rPr>
              <w:t>CHỦ TỊCH</w:t>
            </w:r>
          </w:p>
          <w:p w:rsidR="006669C1" w:rsidRDefault="00D43D09" w:rsidP="008650C2">
            <w:pPr>
              <w:jc w:val="center"/>
              <w:rPr>
                <w:rFonts w:eastAsia="Times New Roman"/>
                <w:b/>
                <w:szCs w:val="28"/>
              </w:rPr>
            </w:pPr>
            <w:r>
              <w:rPr>
                <w:rFonts w:eastAsia="Times New Roman"/>
                <w:b/>
                <w:szCs w:val="28"/>
              </w:rPr>
              <w:t>PHÓ CHỦ TỊCH</w:t>
            </w:r>
          </w:p>
          <w:p w:rsidR="006669C1" w:rsidRDefault="006669C1" w:rsidP="008650C2">
            <w:pPr>
              <w:jc w:val="center"/>
              <w:rPr>
                <w:rFonts w:eastAsia="Times New Roman"/>
                <w:b/>
                <w:szCs w:val="28"/>
              </w:rPr>
            </w:pPr>
          </w:p>
          <w:p w:rsidR="006669C1" w:rsidRDefault="006669C1" w:rsidP="008650C2">
            <w:pPr>
              <w:jc w:val="center"/>
              <w:rPr>
                <w:rFonts w:eastAsia="Times New Roman"/>
                <w:b/>
                <w:szCs w:val="28"/>
              </w:rPr>
            </w:pPr>
          </w:p>
          <w:p w:rsidR="006669C1" w:rsidRDefault="006669C1" w:rsidP="008650C2">
            <w:pPr>
              <w:jc w:val="center"/>
              <w:rPr>
                <w:rFonts w:eastAsia="Times New Roman"/>
                <w:b/>
                <w:szCs w:val="28"/>
              </w:rPr>
            </w:pPr>
          </w:p>
          <w:p w:rsidR="006669C1" w:rsidRDefault="006669C1" w:rsidP="008650C2">
            <w:pPr>
              <w:jc w:val="center"/>
              <w:rPr>
                <w:rFonts w:eastAsia="Times New Roman"/>
                <w:b/>
                <w:szCs w:val="28"/>
              </w:rPr>
            </w:pPr>
          </w:p>
          <w:p w:rsidR="006669C1" w:rsidRDefault="006669C1" w:rsidP="008650C2">
            <w:pPr>
              <w:jc w:val="center"/>
              <w:rPr>
                <w:rFonts w:eastAsia="Times New Roman"/>
                <w:b/>
                <w:szCs w:val="28"/>
              </w:rPr>
            </w:pPr>
          </w:p>
          <w:p w:rsidR="006669C1" w:rsidRDefault="006669C1" w:rsidP="008650C2">
            <w:pPr>
              <w:jc w:val="center"/>
              <w:rPr>
                <w:rFonts w:eastAsia="Times New Roman"/>
                <w:b/>
                <w:szCs w:val="28"/>
              </w:rPr>
            </w:pPr>
          </w:p>
          <w:p w:rsidR="00D43D09" w:rsidRPr="003D1AFA" w:rsidRDefault="006669C1" w:rsidP="00AD4851">
            <w:pPr>
              <w:jc w:val="center"/>
              <w:rPr>
                <w:rFonts w:eastAsia="Times New Roman"/>
                <w:b/>
                <w:szCs w:val="28"/>
              </w:rPr>
            </w:pPr>
            <w:r>
              <w:rPr>
                <w:rFonts w:eastAsia="Times New Roman"/>
                <w:b/>
                <w:szCs w:val="28"/>
              </w:rPr>
              <w:t>Lê Trường Sơn</w:t>
            </w:r>
          </w:p>
        </w:tc>
      </w:tr>
    </w:tbl>
    <w:p w:rsidR="00D43D09" w:rsidRPr="00D43D09" w:rsidRDefault="00D43D09" w:rsidP="00D43D09">
      <w:pPr>
        <w:spacing w:before="120"/>
        <w:jc w:val="both"/>
        <w:rPr>
          <w:color w:val="FF0000"/>
        </w:rPr>
      </w:pPr>
    </w:p>
    <w:sectPr w:rsidR="00D43D09" w:rsidRPr="00D43D09" w:rsidSect="007525DE">
      <w:headerReference w:type="default" r:id="rId8"/>
      <w:footerReference w:type="default" r:id="rId9"/>
      <w:footerReference w:type="firs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06C" w:rsidRDefault="0021606C" w:rsidP="00D43D09">
      <w:r>
        <w:separator/>
      </w:r>
    </w:p>
  </w:endnote>
  <w:endnote w:type="continuationSeparator" w:id="0">
    <w:p w:rsidR="0021606C" w:rsidRDefault="0021606C" w:rsidP="00D4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CE" w:rsidRPr="007525DE" w:rsidRDefault="00E13DCE" w:rsidP="007525DE">
    <w:pPr>
      <w:pStyle w:val="Footer"/>
      <w:tabs>
        <w:tab w:val="clear"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DE" w:rsidRPr="00E13DCE" w:rsidRDefault="007525DE" w:rsidP="007525DE">
    <w:pPr>
      <w:pStyle w:val="Footer"/>
      <w:pBdr>
        <w:top w:val="single" w:sz="4" w:space="4" w:color="auto"/>
      </w:pBdr>
      <w:tabs>
        <w:tab w:val="clear" w:pos="4680"/>
      </w:tabs>
      <w:spacing w:before="60"/>
      <w:rPr>
        <w:sz w:val="24"/>
      </w:rPr>
    </w:pPr>
    <w:r w:rsidRPr="00E13DCE">
      <w:rPr>
        <w:sz w:val="24"/>
      </w:rPr>
      <w:t>Trụ sở Khối Nhà nước tỉnh - Số 2, Nguyễn Văn Trị, P. Trấn Biên, T. Đồng Nai.</w:t>
    </w:r>
  </w:p>
  <w:p w:rsidR="007525DE" w:rsidRPr="007525DE" w:rsidRDefault="007525DE" w:rsidP="007525DE">
    <w:pPr>
      <w:pStyle w:val="Footer"/>
      <w:tabs>
        <w:tab w:val="clear" w:pos="4680"/>
      </w:tabs>
      <w:spacing w:before="60"/>
      <w:rPr>
        <w:sz w:val="24"/>
      </w:rPr>
    </w:pPr>
    <w:r w:rsidRPr="00E13DCE">
      <w:rPr>
        <w:sz w:val="24"/>
      </w:rPr>
      <w:t>ĐT: 0251. 3822.501           Fax: 0252.3823.854               Website: http://dongnai.gov.vn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06C" w:rsidRDefault="0021606C" w:rsidP="00D43D09">
      <w:r>
        <w:separator/>
      </w:r>
    </w:p>
  </w:footnote>
  <w:footnote w:type="continuationSeparator" w:id="0">
    <w:p w:rsidR="0021606C" w:rsidRDefault="0021606C" w:rsidP="00D4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495019"/>
      <w:docPartObj>
        <w:docPartGallery w:val="Page Numbers (Top of Page)"/>
        <w:docPartUnique/>
      </w:docPartObj>
    </w:sdtPr>
    <w:sdtEndPr>
      <w:rPr>
        <w:noProof/>
      </w:rPr>
    </w:sdtEndPr>
    <w:sdtContent>
      <w:p w:rsidR="007525DE" w:rsidRDefault="007525DE" w:rsidP="007525DE">
        <w:pPr>
          <w:pStyle w:val="Header"/>
          <w:jc w:val="center"/>
        </w:pPr>
        <w:r>
          <w:fldChar w:fldCharType="begin"/>
        </w:r>
        <w:r>
          <w:instrText xml:space="preserve"> PAGE   \* MERGEFORMAT </w:instrText>
        </w:r>
        <w:r>
          <w:fldChar w:fldCharType="separate"/>
        </w:r>
        <w:r w:rsidR="00317F11">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D9"/>
    <w:rsid w:val="00030B1A"/>
    <w:rsid w:val="00107627"/>
    <w:rsid w:val="001A08C8"/>
    <w:rsid w:val="001B4E13"/>
    <w:rsid w:val="001D39FB"/>
    <w:rsid w:val="0021606C"/>
    <w:rsid w:val="00227CD5"/>
    <w:rsid w:val="00260E6B"/>
    <w:rsid w:val="002D26A6"/>
    <w:rsid w:val="002E6B79"/>
    <w:rsid w:val="002F64C4"/>
    <w:rsid w:val="003152AE"/>
    <w:rsid w:val="00317285"/>
    <w:rsid w:val="00317F11"/>
    <w:rsid w:val="0033465F"/>
    <w:rsid w:val="00334B29"/>
    <w:rsid w:val="003B3C58"/>
    <w:rsid w:val="003C7899"/>
    <w:rsid w:val="003D045D"/>
    <w:rsid w:val="003D57E1"/>
    <w:rsid w:val="004136F0"/>
    <w:rsid w:val="00433ECF"/>
    <w:rsid w:val="00461B4B"/>
    <w:rsid w:val="0046558D"/>
    <w:rsid w:val="00560C3A"/>
    <w:rsid w:val="0063634C"/>
    <w:rsid w:val="006669C1"/>
    <w:rsid w:val="006805CA"/>
    <w:rsid w:val="007525DE"/>
    <w:rsid w:val="0079006B"/>
    <w:rsid w:val="008C43A6"/>
    <w:rsid w:val="008D231A"/>
    <w:rsid w:val="00944888"/>
    <w:rsid w:val="009C7C3B"/>
    <w:rsid w:val="009E595A"/>
    <w:rsid w:val="00A10434"/>
    <w:rsid w:val="00A14BB1"/>
    <w:rsid w:val="00AA7561"/>
    <w:rsid w:val="00AD4851"/>
    <w:rsid w:val="00B53484"/>
    <w:rsid w:val="00B57834"/>
    <w:rsid w:val="00B72D43"/>
    <w:rsid w:val="00B75DBC"/>
    <w:rsid w:val="00BB08D9"/>
    <w:rsid w:val="00BC406B"/>
    <w:rsid w:val="00C034DE"/>
    <w:rsid w:val="00C10142"/>
    <w:rsid w:val="00C10A8F"/>
    <w:rsid w:val="00C510F6"/>
    <w:rsid w:val="00C94985"/>
    <w:rsid w:val="00D24493"/>
    <w:rsid w:val="00D35586"/>
    <w:rsid w:val="00D40E0C"/>
    <w:rsid w:val="00D41D2B"/>
    <w:rsid w:val="00D43D09"/>
    <w:rsid w:val="00D50CF1"/>
    <w:rsid w:val="00D8615D"/>
    <w:rsid w:val="00E00F9C"/>
    <w:rsid w:val="00E13DCE"/>
    <w:rsid w:val="00E25C00"/>
    <w:rsid w:val="00E47241"/>
    <w:rsid w:val="00F93CD3"/>
    <w:rsid w:val="00FA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spacing w:before="80" w:after="80" w:line="288" w:lineRule="auto"/>
      <w:ind w:firstLine="426"/>
      <w:jc w:val="both"/>
    </w:pPr>
    <w:rPr>
      <w:rFonts w:eastAsia="Times New Roman"/>
      <w:b/>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ind w:left="720"/>
      <w:contextualSpacing/>
    </w:pPr>
    <w:rPr>
      <w:rFonts w:eastAsia="Times New Roman"/>
    </w:rPr>
  </w:style>
  <w:style w:type="table" w:styleId="TableGrid">
    <w:name w:val="Table Grid"/>
    <w:basedOn w:val="TableNormal"/>
    <w:uiPriority w:val="59"/>
    <w:rsid w:val="00BB0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006B"/>
    <w:rPr>
      <w:sz w:val="20"/>
      <w:szCs w:val="20"/>
    </w:rPr>
  </w:style>
  <w:style w:type="character" w:customStyle="1" w:styleId="FootnoteTextChar">
    <w:name w:val="Footnote Text Char"/>
    <w:basedOn w:val="DefaultParagraphFont"/>
    <w:link w:val="FootnoteText"/>
    <w:uiPriority w:val="99"/>
    <w:semiHidden/>
    <w:rsid w:val="0079006B"/>
    <w:rPr>
      <w:sz w:val="20"/>
      <w:szCs w:val="20"/>
    </w:rPr>
  </w:style>
  <w:style w:type="character" w:styleId="FootnoteReference">
    <w:name w:val="footnote reference"/>
    <w:basedOn w:val="DefaultParagraphFont"/>
    <w:uiPriority w:val="99"/>
    <w:semiHidden/>
    <w:unhideWhenUsed/>
    <w:rsid w:val="0079006B"/>
    <w:rPr>
      <w:vertAlign w:val="superscript"/>
    </w:rPr>
  </w:style>
  <w:style w:type="paragraph" w:styleId="Header">
    <w:name w:val="header"/>
    <w:basedOn w:val="Normal"/>
    <w:link w:val="HeaderChar"/>
    <w:uiPriority w:val="99"/>
    <w:unhideWhenUsed/>
    <w:rsid w:val="00E13DCE"/>
    <w:pPr>
      <w:tabs>
        <w:tab w:val="center" w:pos="4680"/>
        <w:tab w:val="right" w:pos="9360"/>
      </w:tabs>
    </w:pPr>
  </w:style>
  <w:style w:type="character" w:customStyle="1" w:styleId="HeaderChar">
    <w:name w:val="Header Char"/>
    <w:basedOn w:val="DefaultParagraphFont"/>
    <w:link w:val="Header"/>
    <w:uiPriority w:val="99"/>
    <w:rsid w:val="00E13DCE"/>
  </w:style>
  <w:style w:type="paragraph" w:styleId="Footer">
    <w:name w:val="footer"/>
    <w:basedOn w:val="Normal"/>
    <w:link w:val="FooterChar"/>
    <w:uiPriority w:val="99"/>
    <w:unhideWhenUsed/>
    <w:rsid w:val="00E13DCE"/>
    <w:pPr>
      <w:tabs>
        <w:tab w:val="center" w:pos="4680"/>
        <w:tab w:val="right" w:pos="9360"/>
      </w:tabs>
    </w:pPr>
  </w:style>
  <w:style w:type="character" w:customStyle="1" w:styleId="FooterChar">
    <w:name w:val="Footer Char"/>
    <w:basedOn w:val="DefaultParagraphFont"/>
    <w:link w:val="Footer"/>
    <w:uiPriority w:val="99"/>
    <w:rsid w:val="00E13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spacing w:before="80" w:after="80" w:line="288" w:lineRule="auto"/>
      <w:ind w:firstLine="426"/>
      <w:jc w:val="both"/>
    </w:pPr>
    <w:rPr>
      <w:rFonts w:eastAsia="Times New Roman"/>
      <w:b/>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ind w:left="720"/>
      <w:contextualSpacing/>
    </w:pPr>
    <w:rPr>
      <w:rFonts w:eastAsia="Times New Roman"/>
    </w:rPr>
  </w:style>
  <w:style w:type="table" w:styleId="TableGrid">
    <w:name w:val="Table Grid"/>
    <w:basedOn w:val="TableNormal"/>
    <w:uiPriority w:val="59"/>
    <w:rsid w:val="00BB0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006B"/>
    <w:rPr>
      <w:sz w:val="20"/>
      <w:szCs w:val="20"/>
    </w:rPr>
  </w:style>
  <w:style w:type="character" w:customStyle="1" w:styleId="FootnoteTextChar">
    <w:name w:val="Footnote Text Char"/>
    <w:basedOn w:val="DefaultParagraphFont"/>
    <w:link w:val="FootnoteText"/>
    <w:uiPriority w:val="99"/>
    <w:semiHidden/>
    <w:rsid w:val="0079006B"/>
    <w:rPr>
      <w:sz w:val="20"/>
      <w:szCs w:val="20"/>
    </w:rPr>
  </w:style>
  <w:style w:type="character" w:styleId="FootnoteReference">
    <w:name w:val="footnote reference"/>
    <w:basedOn w:val="DefaultParagraphFont"/>
    <w:uiPriority w:val="99"/>
    <w:semiHidden/>
    <w:unhideWhenUsed/>
    <w:rsid w:val="0079006B"/>
    <w:rPr>
      <w:vertAlign w:val="superscript"/>
    </w:rPr>
  </w:style>
  <w:style w:type="paragraph" w:styleId="Header">
    <w:name w:val="header"/>
    <w:basedOn w:val="Normal"/>
    <w:link w:val="HeaderChar"/>
    <w:uiPriority w:val="99"/>
    <w:unhideWhenUsed/>
    <w:rsid w:val="00E13DCE"/>
    <w:pPr>
      <w:tabs>
        <w:tab w:val="center" w:pos="4680"/>
        <w:tab w:val="right" w:pos="9360"/>
      </w:tabs>
    </w:pPr>
  </w:style>
  <w:style w:type="character" w:customStyle="1" w:styleId="HeaderChar">
    <w:name w:val="Header Char"/>
    <w:basedOn w:val="DefaultParagraphFont"/>
    <w:link w:val="Header"/>
    <w:uiPriority w:val="99"/>
    <w:rsid w:val="00E13DCE"/>
  </w:style>
  <w:style w:type="paragraph" w:styleId="Footer">
    <w:name w:val="footer"/>
    <w:basedOn w:val="Normal"/>
    <w:link w:val="FooterChar"/>
    <w:uiPriority w:val="99"/>
    <w:unhideWhenUsed/>
    <w:rsid w:val="00E13DCE"/>
    <w:pPr>
      <w:tabs>
        <w:tab w:val="center" w:pos="4680"/>
        <w:tab w:val="right" w:pos="9360"/>
      </w:tabs>
    </w:pPr>
  </w:style>
  <w:style w:type="character" w:customStyle="1" w:styleId="FooterChar">
    <w:name w:val="Footer Char"/>
    <w:basedOn w:val="DefaultParagraphFont"/>
    <w:link w:val="Footer"/>
    <w:uiPriority w:val="99"/>
    <w:rsid w:val="00E1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39739">
      <w:bodyDiv w:val="1"/>
      <w:marLeft w:val="0"/>
      <w:marRight w:val="0"/>
      <w:marTop w:val="0"/>
      <w:marBottom w:val="0"/>
      <w:divBdr>
        <w:top w:val="none" w:sz="0" w:space="0" w:color="auto"/>
        <w:left w:val="none" w:sz="0" w:space="0" w:color="auto"/>
        <w:bottom w:val="none" w:sz="0" w:space="0" w:color="auto"/>
        <w:right w:val="none" w:sz="0" w:space="0" w:color="auto"/>
      </w:divBdr>
    </w:div>
    <w:div w:id="1462963601">
      <w:bodyDiv w:val="1"/>
      <w:marLeft w:val="0"/>
      <w:marRight w:val="0"/>
      <w:marTop w:val="0"/>
      <w:marBottom w:val="0"/>
      <w:divBdr>
        <w:top w:val="none" w:sz="0" w:space="0" w:color="auto"/>
        <w:left w:val="none" w:sz="0" w:space="0" w:color="auto"/>
        <w:bottom w:val="none" w:sz="0" w:space="0" w:color="auto"/>
        <w:right w:val="none" w:sz="0" w:space="0" w:color="auto"/>
      </w:divBdr>
    </w:div>
    <w:div w:id="1622564424">
      <w:bodyDiv w:val="1"/>
      <w:marLeft w:val="0"/>
      <w:marRight w:val="0"/>
      <w:marTop w:val="0"/>
      <w:marBottom w:val="0"/>
      <w:divBdr>
        <w:top w:val="none" w:sz="0" w:space="0" w:color="auto"/>
        <w:left w:val="none" w:sz="0" w:space="0" w:color="auto"/>
        <w:bottom w:val="none" w:sz="0" w:space="0" w:color="auto"/>
        <w:right w:val="none" w:sz="0" w:space="0" w:color="auto"/>
      </w:divBdr>
    </w:div>
    <w:div w:id="1933665202">
      <w:bodyDiv w:val="1"/>
      <w:marLeft w:val="0"/>
      <w:marRight w:val="0"/>
      <w:marTop w:val="0"/>
      <w:marBottom w:val="0"/>
      <w:divBdr>
        <w:top w:val="none" w:sz="0" w:space="0" w:color="auto"/>
        <w:left w:val="none" w:sz="0" w:space="0" w:color="auto"/>
        <w:bottom w:val="none" w:sz="0" w:space="0" w:color="auto"/>
        <w:right w:val="none" w:sz="0" w:space="0" w:color="auto"/>
      </w:divBdr>
    </w:div>
    <w:div w:id="195259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8819-8F53-4FF0-A0DB-E96A4341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2025-10-21T01:32:00Z</cp:lastPrinted>
  <dcterms:created xsi:type="dcterms:W3CDTF">2025-10-17T07:51:00Z</dcterms:created>
  <dcterms:modified xsi:type="dcterms:W3CDTF">2025-10-21T08:23:00Z</dcterms:modified>
</cp:coreProperties>
</file>