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3"/>
        <w:gridCol w:w="9891"/>
      </w:tblGrid>
      <w:tr w:rsidR="008A4B1B" w:rsidRPr="002E4239" w14:paraId="0FC0B9F5" w14:textId="77777777" w:rsidTr="008A4B1B">
        <w:tc>
          <w:tcPr>
            <w:tcW w:w="5805" w:type="dxa"/>
            <w:tcBorders>
              <w:top w:val="nil"/>
              <w:left w:val="nil"/>
              <w:bottom w:val="nil"/>
              <w:right w:val="nil"/>
              <w:tl2br w:val="nil"/>
              <w:tr2bl w:val="nil"/>
            </w:tcBorders>
            <w:tcMar>
              <w:top w:w="0" w:type="dxa"/>
              <w:left w:w="108" w:type="dxa"/>
              <w:bottom w:w="0" w:type="dxa"/>
              <w:right w:w="108" w:type="dxa"/>
            </w:tcMar>
          </w:tcPr>
          <w:p w14:paraId="67C4E291" w14:textId="77777777" w:rsidR="008A4B1B" w:rsidRPr="002E4239" w:rsidRDefault="00340C9E" w:rsidP="008A4B1B">
            <w:pPr>
              <w:spacing w:before="120"/>
              <w:jc w:val="center"/>
              <w:rPr>
                <w:rFonts w:ascii="Times New Roman" w:hAnsi="Times New Roman" w:cs="Times New Roman"/>
                <w:color w:val="auto"/>
                <w:sz w:val="28"/>
                <w:szCs w:val="28"/>
              </w:rPr>
            </w:pPr>
            <w:r>
              <w:rPr>
                <w:rFonts w:ascii="Times New Roman" w:hAnsi="Times New Roman" w:cs="Times New Roman"/>
                <w:bCs/>
                <w:noProof/>
                <w:color w:val="auto"/>
                <w:sz w:val="28"/>
                <w:szCs w:val="28"/>
              </w:rPr>
              <w:pict w14:anchorId="28EB66D0">
                <v:shapetype id="_x0000_t32" coordsize="21600,21600" o:spt="32" o:oned="t" path="m,l21600,21600e" filled="f">
                  <v:path arrowok="t" fillok="f" o:connecttype="none"/>
                  <o:lock v:ext="edit" shapetype="t"/>
                </v:shapetype>
                <v:shape id="_x0000_s1026" type="#_x0000_t32" style="position:absolute;left:0;text-align:left;margin-left:68.25pt;margin-top:39.75pt;width:124.2pt;height:0;z-index:251660288" o:connectortype="straight"/>
              </w:pict>
            </w:r>
            <w:r w:rsidR="008A4B1B" w:rsidRPr="002E4239">
              <w:rPr>
                <w:rFonts w:ascii="Times New Roman" w:hAnsi="Times New Roman" w:cs="Times New Roman"/>
                <w:bCs/>
                <w:color w:val="auto"/>
                <w:sz w:val="28"/>
                <w:szCs w:val="28"/>
                <w:lang w:val="en-US"/>
              </w:rPr>
              <w:t>UBND TỈNH ĐỒNG NAI</w:t>
            </w:r>
            <w:r w:rsidR="008A4B1B" w:rsidRPr="002E4239">
              <w:rPr>
                <w:rFonts w:ascii="Times New Roman" w:hAnsi="Times New Roman" w:cs="Times New Roman"/>
                <w:b/>
                <w:bCs/>
                <w:color w:val="auto"/>
                <w:sz w:val="28"/>
                <w:szCs w:val="28"/>
              </w:rPr>
              <w:br/>
            </w:r>
            <w:r w:rsidR="008A4B1B" w:rsidRPr="002E4239">
              <w:rPr>
                <w:rFonts w:ascii="Times New Roman" w:hAnsi="Times New Roman" w:cs="Times New Roman"/>
                <w:b/>
                <w:bCs/>
                <w:color w:val="auto"/>
                <w:sz w:val="28"/>
                <w:szCs w:val="28"/>
                <w:lang w:val="en-US"/>
              </w:rPr>
              <w:t>SỞ NÔNG NGHIỆP VÀ MÔI TRƯỜNG</w:t>
            </w:r>
            <w:r w:rsidR="008A4B1B" w:rsidRPr="002E4239">
              <w:rPr>
                <w:rFonts w:ascii="Times New Roman" w:hAnsi="Times New Roman" w:cs="Times New Roman"/>
                <w:b/>
                <w:bCs/>
                <w:color w:val="auto"/>
                <w:sz w:val="28"/>
                <w:szCs w:val="28"/>
              </w:rPr>
              <w:br/>
            </w:r>
          </w:p>
        </w:tc>
        <w:tc>
          <w:tcPr>
            <w:tcW w:w="9549" w:type="dxa"/>
            <w:tcBorders>
              <w:top w:val="nil"/>
              <w:left w:val="nil"/>
              <w:bottom w:val="nil"/>
              <w:right w:val="nil"/>
              <w:tl2br w:val="nil"/>
              <w:tr2bl w:val="nil"/>
            </w:tcBorders>
            <w:tcMar>
              <w:top w:w="0" w:type="dxa"/>
              <w:left w:w="108" w:type="dxa"/>
              <w:bottom w:w="0" w:type="dxa"/>
              <w:right w:w="108" w:type="dxa"/>
            </w:tcMar>
          </w:tcPr>
          <w:p w14:paraId="0734CD9D" w14:textId="77777777" w:rsidR="008A4B1B" w:rsidRPr="002E4239" w:rsidRDefault="00340C9E" w:rsidP="000938F4">
            <w:pPr>
              <w:spacing w:before="120"/>
              <w:jc w:val="center"/>
              <w:rPr>
                <w:rFonts w:ascii="Times New Roman" w:hAnsi="Times New Roman" w:cs="Times New Roman"/>
                <w:color w:val="auto"/>
                <w:sz w:val="28"/>
                <w:szCs w:val="28"/>
              </w:rPr>
            </w:pPr>
            <w:r>
              <w:rPr>
                <w:rFonts w:ascii="Times New Roman" w:hAnsi="Times New Roman" w:cs="Times New Roman"/>
                <w:b/>
                <w:bCs/>
                <w:noProof/>
                <w:color w:val="auto"/>
                <w:sz w:val="26"/>
                <w:szCs w:val="26"/>
              </w:rPr>
              <w:pict w14:anchorId="69D412A6">
                <v:shape id="_x0000_s1027" type="#_x0000_t32" style="position:absolute;left:0;text-align:left;margin-left:134.85pt;margin-top:38.25pt;width:168.4pt;height:0;z-index:251661312;mso-position-horizontal-relative:text;mso-position-vertical-relative:text" o:connectortype="straight"/>
              </w:pict>
            </w:r>
            <w:r w:rsidR="008A4B1B" w:rsidRPr="002E4239">
              <w:rPr>
                <w:rFonts w:ascii="Times New Roman" w:hAnsi="Times New Roman" w:cs="Times New Roman"/>
                <w:b/>
                <w:bCs/>
                <w:color w:val="auto"/>
                <w:sz w:val="26"/>
                <w:szCs w:val="26"/>
              </w:rPr>
              <w:t>CỘNG HÒA XÃ HỘI CHỦ NGHĨA VIỆT NAM</w:t>
            </w:r>
            <w:r w:rsidR="008A4B1B" w:rsidRPr="002E4239">
              <w:rPr>
                <w:rFonts w:ascii="Times New Roman" w:hAnsi="Times New Roman" w:cs="Times New Roman"/>
                <w:b/>
                <w:bCs/>
                <w:color w:val="auto"/>
                <w:sz w:val="26"/>
                <w:szCs w:val="26"/>
              </w:rPr>
              <w:br/>
            </w:r>
            <w:r w:rsidR="008A4B1B" w:rsidRPr="002E4239">
              <w:rPr>
                <w:rFonts w:ascii="Times New Roman" w:hAnsi="Times New Roman" w:cs="Times New Roman"/>
                <w:b/>
                <w:bCs/>
                <w:color w:val="auto"/>
                <w:sz w:val="28"/>
                <w:szCs w:val="28"/>
              </w:rPr>
              <w:t xml:space="preserve">Độc lập - Tự do - Hạnh phúc </w:t>
            </w:r>
            <w:r w:rsidR="008A4B1B" w:rsidRPr="002E4239">
              <w:rPr>
                <w:rFonts w:ascii="Times New Roman" w:hAnsi="Times New Roman" w:cs="Times New Roman"/>
                <w:b/>
                <w:bCs/>
                <w:color w:val="auto"/>
                <w:sz w:val="28"/>
                <w:szCs w:val="28"/>
              </w:rPr>
              <w:br/>
            </w:r>
          </w:p>
        </w:tc>
      </w:tr>
      <w:tr w:rsidR="008A4B1B" w:rsidRPr="002E4239" w14:paraId="65CB06AB" w14:textId="77777777" w:rsidTr="008A4B1B">
        <w:tblPrEx>
          <w:tblBorders>
            <w:top w:val="none" w:sz="0" w:space="0" w:color="auto"/>
            <w:bottom w:val="none" w:sz="0" w:space="0" w:color="auto"/>
            <w:insideH w:val="none" w:sz="0" w:space="0" w:color="auto"/>
            <w:insideV w:val="none" w:sz="0" w:space="0" w:color="auto"/>
          </w:tblBorders>
        </w:tblPrEx>
        <w:tc>
          <w:tcPr>
            <w:tcW w:w="5805" w:type="dxa"/>
            <w:tcBorders>
              <w:top w:val="nil"/>
              <w:left w:val="nil"/>
              <w:bottom w:val="nil"/>
              <w:right w:val="nil"/>
              <w:tl2br w:val="nil"/>
              <w:tr2bl w:val="nil"/>
            </w:tcBorders>
            <w:tcMar>
              <w:top w:w="0" w:type="dxa"/>
              <w:left w:w="108" w:type="dxa"/>
              <w:bottom w:w="0" w:type="dxa"/>
              <w:right w:w="108" w:type="dxa"/>
            </w:tcMar>
          </w:tcPr>
          <w:p w14:paraId="6FAAAF23" w14:textId="77777777" w:rsidR="008A4B1B" w:rsidRPr="002E4239" w:rsidRDefault="008A4B1B" w:rsidP="000938F4">
            <w:pPr>
              <w:spacing w:before="120"/>
              <w:jc w:val="center"/>
              <w:rPr>
                <w:rFonts w:ascii="Times New Roman" w:hAnsi="Times New Roman" w:cs="Times New Roman"/>
                <w:color w:val="auto"/>
                <w:sz w:val="28"/>
                <w:szCs w:val="28"/>
              </w:rPr>
            </w:pPr>
          </w:p>
        </w:tc>
        <w:tc>
          <w:tcPr>
            <w:tcW w:w="9549" w:type="dxa"/>
            <w:tcBorders>
              <w:top w:val="nil"/>
              <w:left w:val="nil"/>
              <w:bottom w:val="nil"/>
              <w:right w:val="nil"/>
              <w:tl2br w:val="nil"/>
              <w:tr2bl w:val="nil"/>
            </w:tcBorders>
            <w:tcMar>
              <w:top w:w="0" w:type="dxa"/>
              <w:left w:w="108" w:type="dxa"/>
              <w:bottom w:w="0" w:type="dxa"/>
              <w:right w:w="108" w:type="dxa"/>
            </w:tcMar>
          </w:tcPr>
          <w:p w14:paraId="020DC855" w14:textId="4F3C235F" w:rsidR="008A4B1B" w:rsidRPr="002E4239" w:rsidRDefault="008A4B1B" w:rsidP="000938F4">
            <w:pPr>
              <w:spacing w:before="120"/>
              <w:jc w:val="right"/>
              <w:rPr>
                <w:rFonts w:ascii="Times New Roman" w:hAnsi="Times New Roman" w:cs="Times New Roman"/>
                <w:color w:val="auto"/>
                <w:sz w:val="28"/>
                <w:szCs w:val="28"/>
              </w:rPr>
            </w:pPr>
            <w:r w:rsidRPr="002E4239">
              <w:rPr>
                <w:rFonts w:ascii="Times New Roman" w:hAnsi="Times New Roman" w:cs="Times New Roman"/>
                <w:i/>
                <w:iCs/>
                <w:color w:val="auto"/>
                <w:sz w:val="28"/>
                <w:szCs w:val="28"/>
              </w:rPr>
              <w:t>Đồng Nai, ngày</w:t>
            </w:r>
            <w:r w:rsidR="007C3D5B">
              <w:rPr>
                <w:rFonts w:ascii="Times New Roman" w:hAnsi="Times New Roman" w:cs="Times New Roman"/>
                <w:i/>
                <w:iCs/>
                <w:color w:val="auto"/>
                <w:sz w:val="28"/>
                <w:szCs w:val="28"/>
                <w:lang w:val="en-US"/>
              </w:rPr>
              <w:t xml:space="preserve"> </w:t>
            </w:r>
            <w:r w:rsidR="00E41FC9">
              <w:rPr>
                <w:rFonts w:ascii="Times New Roman" w:hAnsi="Times New Roman" w:cs="Times New Roman"/>
                <w:i/>
                <w:iCs/>
                <w:color w:val="auto"/>
                <w:sz w:val="28"/>
                <w:szCs w:val="28"/>
                <w:lang w:val="en-US"/>
              </w:rPr>
              <w:t xml:space="preserve">13 </w:t>
            </w:r>
            <w:r w:rsidRPr="002E4239">
              <w:rPr>
                <w:rFonts w:ascii="Times New Roman" w:hAnsi="Times New Roman" w:cs="Times New Roman"/>
                <w:i/>
                <w:iCs/>
                <w:color w:val="auto"/>
                <w:sz w:val="28"/>
                <w:szCs w:val="28"/>
              </w:rPr>
              <w:t>tháng</w:t>
            </w:r>
            <w:r w:rsidR="007C3D5B">
              <w:rPr>
                <w:rFonts w:ascii="Times New Roman" w:hAnsi="Times New Roman" w:cs="Times New Roman"/>
                <w:i/>
                <w:iCs/>
                <w:color w:val="auto"/>
                <w:sz w:val="28"/>
                <w:szCs w:val="28"/>
                <w:lang w:val="en-US"/>
              </w:rPr>
              <w:t xml:space="preserve"> </w:t>
            </w:r>
            <w:r w:rsidR="00E41FC9">
              <w:rPr>
                <w:rFonts w:ascii="Times New Roman" w:hAnsi="Times New Roman" w:cs="Times New Roman"/>
                <w:i/>
                <w:iCs/>
                <w:color w:val="auto"/>
                <w:sz w:val="28"/>
                <w:szCs w:val="28"/>
                <w:lang w:val="en-US"/>
              </w:rPr>
              <w:t>10</w:t>
            </w:r>
            <w:r w:rsidR="007C3D5B">
              <w:rPr>
                <w:rFonts w:ascii="Times New Roman" w:hAnsi="Times New Roman" w:cs="Times New Roman"/>
                <w:i/>
                <w:iCs/>
                <w:color w:val="auto"/>
                <w:sz w:val="28"/>
                <w:szCs w:val="28"/>
                <w:lang w:val="en-US"/>
              </w:rPr>
              <w:t xml:space="preserve"> n</w:t>
            </w:r>
            <w:r w:rsidRPr="002E4239">
              <w:rPr>
                <w:rFonts w:ascii="Times New Roman" w:hAnsi="Times New Roman" w:cs="Times New Roman"/>
                <w:i/>
                <w:iCs/>
                <w:color w:val="auto"/>
                <w:sz w:val="28"/>
                <w:szCs w:val="28"/>
              </w:rPr>
              <w:t>ăm 2025</w:t>
            </w:r>
          </w:p>
        </w:tc>
      </w:tr>
    </w:tbl>
    <w:p w14:paraId="38CBCB41" w14:textId="77777777" w:rsidR="008A4B1B" w:rsidRPr="002E4239" w:rsidRDefault="008A4B1B" w:rsidP="00BD6377">
      <w:pPr>
        <w:spacing w:before="120" w:after="120"/>
        <w:jc w:val="center"/>
        <w:rPr>
          <w:rFonts w:ascii="Times New Roman" w:hAnsi="Times New Roman" w:cs="Times New Roman"/>
          <w:b/>
          <w:bCs/>
          <w:color w:val="auto"/>
          <w:lang w:val="en-US"/>
        </w:rPr>
      </w:pPr>
    </w:p>
    <w:p w14:paraId="7D415420" w14:textId="6916DF4D" w:rsidR="00373BE4" w:rsidRDefault="00BD6377" w:rsidP="009F34BE">
      <w:pPr>
        <w:spacing w:after="120"/>
        <w:jc w:val="center"/>
        <w:rPr>
          <w:rFonts w:ascii="Times New Roman" w:hAnsi="Times New Roman" w:cs="Times New Roman"/>
          <w:b/>
          <w:bCs/>
          <w:color w:val="auto"/>
          <w:sz w:val="28"/>
          <w:szCs w:val="28"/>
          <w:lang w:val="en-US"/>
        </w:rPr>
      </w:pPr>
      <w:r w:rsidRPr="002E4239">
        <w:rPr>
          <w:rFonts w:ascii="Times New Roman" w:hAnsi="Times New Roman" w:cs="Times New Roman"/>
          <w:b/>
          <w:bCs/>
          <w:color w:val="auto"/>
          <w:sz w:val="28"/>
          <w:szCs w:val="28"/>
          <w:lang w:val="en-US"/>
        </w:rPr>
        <w:t xml:space="preserve">BẢNG SO SÁNH </w:t>
      </w:r>
      <w:r w:rsidR="00E34160">
        <w:rPr>
          <w:rFonts w:ascii="Times New Roman" w:hAnsi="Times New Roman" w:cs="Times New Roman"/>
          <w:b/>
          <w:bCs/>
          <w:color w:val="auto"/>
          <w:sz w:val="28"/>
          <w:szCs w:val="28"/>
          <w:lang w:val="en-US"/>
        </w:rPr>
        <w:t xml:space="preserve">CÁC TIÊU CHÍ KHU VỰC, VỊ TRÍ TẠI </w:t>
      </w:r>
      <w:r w:rsidRPr="002E4239">
        <w:rPr>
          <w:rFonts w:ascii="Times New Roman" w:hAnsi="Times New Roman" w:cs="Times New Roman"/>
          <w:b/>
          <w:bCs/>
          <w:color w:val="auto"/>
          <w:sz w:val="28"/>
          <w:szCs w:val="28"/>
          <w:lang w:val="en-US"/>
        </w:rPr>
        <w:t xml:space="preserve">QUYẾT ĐỊNH </w:t>
      </w:r>
      <w:r w:rsidR="008A4B1B" w:rsidRPr="002E4239">
        <w:rPr>
          <w:rFonts w:ascii="Times New Roman" w:hAnsi="Times New Roman" w:cs="Times New Roman"/>
          <w:b/>
          <w:bCs/>
          <w:color w:val="auto"/>
          <w:sz w:val="28"/>
          <w:szCs w:val="28"/>
          <w:lang w:val="en-US"/>
        </w:rPr>
        <w:t xml:space="preserve">SỐ </w:t>
      </w:r>
      <w:r w:rsidR="00E41FC9" w:rsidRPr="00E41FC9">
        <w:rPr>
          <w:rFonts w:ascii="Times New Roman" w:hAnsi="Times New Roman" w:cs="Times New Roman"/>
          <w:b/>
          <w:bCs/>
          <w:color w:val="auto"/>
          <w:sz w:val="28"/>
          <w:szCs w:val="28"/>
        </w:rPr>
        <w:t>18/2020/QĐ-UBND</w:t>
      </w:r>
      <w:r w:rsidR="00E41FC9">
        <w:rPr>
          <w:rFonts w:ascii="Times New Roman" w:hAnsi="Times New Roman" w:cs="Times New Roman"/>
          <w:b/>
          <w:bCs/>
          <w:color w:val="auto"/>
          <w:sz w:val="28"/>
          <w:szCs w:val="28"/>
          <w:lang w:val="en-US"/>
        </w:rPr>
        <w:t xml:space="preserve"> </w:t>
      </w:r>
      <w:r w:rsidR="008A4B1B" w:rsidRPr="002E4239">
        <w:rPr>
          <w:rFonts w:ascii="Times New Roman" w:hAnsi="Times New Roman" w:cs="Times New Roman"/>
          <w:b/>
          <w:bCs/>
          <w:color w:val="auto"/>
          <w:sz w:val="28"/>
          <w:szCs w:val="28"/>
          <w:lang w:val="en-US"/>
        </w:rPr>
        <w:t xml:space="preserve">NGÀY 12 THÁNG </w:t>
      </w:r>
      <w:r w:rsidR="00A14E9C">
        <w:rPr>
          <w:rFonts w:ascii="Times New Roman" w:hAnsi="Times New Roman" w:cs="Times New Roman"/>
          <w:b/>
          <w:bCs/>
          <w:color w:val="auto"/>
          <w:sz w:val="28"/>
          <w:szCs w:val="28"/>
          <w:lang w:val="en-US"/>
        </w:rPr>
        <w:t>0</w:t>
      </w:r>
      <w:r w:rsidR="00E41FC9">
        <w:rPr>
          <w:rFonts w:ascii="Times New Roman" w:hAnsi="Times New Roman" w:cs="Times New Roman"/>
          <w:b/>
          <w:bCs/>
          <w:color w:val="auto"/>
          <w:sz w:val="28"/>
          <w:szCs w:val="28"/>
          <w:lang w:val="en-US"/>
        </w:rPr>
        <w:t>8</w:t>
      </w:r>
      <w:r w:rsidR="008A4B1B" w:rsidRPr="002E4239">
        <w:rPr>
          <w:rFonts w:ascii="Times New Roman" w:hAnsi="Times New Roman" w:cs="Times New Roman"/>
          <w:b/>
          <w:bCs/>
          <w:color w:val="auto"/>
          <w:sz w:val="28"/>
          <w:szCs w:val="28"/>
          <w:lang w:val="en-US"/>
        </w:rPr>
        <w:t xml:space="preserve"> NĂM 202</w:t>
      </w:r>
      <w:r w:rsidR="00E41FC9">
        <w:rPr>
          <w:rFonts w:ascii="Times New Roman" w:hAnsi="Times New Roman" w:cs="Times New Roman"/>
          <w:b/>
          <w:bCs/>
          <w:color w:val="auto"/>
          <w:sz w:val="28"/>
          <w:szCs w:val="28"/>
          <w:lang w:val="en-US"/>
        </w:rPr>
        <w:t xml:space="preserve">0 </w:t>
      </w:r>
      <w:r w:rsidR="00E41FC9" w:rsidRPr="002E4239">
        <w:rPr>
          <w:rFonts w:ascii="Times New Roman" w:hAnsi="Times New Roman" w:cs="Times New Roman"/>
          <w:b/>
          <w:bCs/>
          <w:color w:val="auto"/>
          <w:sz w:val="28"/>
          <w:szCs w:val="28"/>
          <w:lang w:val="en-US"/>
        </w:rPr>
        <w:t>CỦA UBND TỈNH BÌNH PHƯỚC (CŨ)</w:t>
      </w:r>
      <w:r w:rsidR="00E41FC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QUYẾT ĐỊNH SỐ </w:t>
      </w:r>
      <w:r w:rsidR="00E41FC9" w:rsidRPr="00E41FC9">
        <w:rPr>
          <w:rFonts w:ascii="Times New Roman" w:hAnsi="Times New Roman" w:cs="Times New Roman"/>
          <w:b/>
          <w:bCs/>
          <w:color w:val="auto"/>
          <w:sz w:val="28"/>
          <w:szCs w:val="28"/>
        </w:rPr>
        <w:t>52/2024/QĐ-UBND</w:t>
      </w:r>
      <w:r w:rsidR="008A4B1B" w:rsidRPr="002E423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NGÀY </w:t>
      </w:r>
      <w:r w:rsidR="00E41FC9">
        <w:rPr>
          <w:rFonts w:ascii="Times New Roman" w:hAnsi="Times New Roman" w:cs="Times New Roman"/>
          <w:b/>
          <w:bCs/>
          <w:color w:val="auto"/>
          <w:sz w:val="28"/>
          <w:szCs w:val="28"/>
          <w:lang w:val="en-US"/>
        </w:rPr>
        <w:t xml:space="preserve">27 </w:t>
      </w:r>
      <w:r w:rsidR="00E41FC9" w:rsidRPr="002E4239">
        <w:rPr>
          <w:rFonts w:ascii="Times New Roman" w:hAnsi="Times New Roman" w:cs="Times New Roman"/>
          <w:b/>
          <w:bCs/>
          <w:color w:val="auto"/>
          <w:sz w:val="28"/>
          <w:szCs w:val="28"/>
          <w:lang w:val="en-US"/>
        </w:rPr>
        <w:t xml:space="preserve">THÁNG </w:t>
      </w:r>
      <w:r w:rsidR="00E41FC9">
        <w:rPr>
          <w:rFonts w:ascii="Times New Roman" w:hAnsi="Times New Roman" w:cs="Times New Roman"/>
          <w:b/>
          <w:bCs/>
          <w:color w:val="auto"/>
          <w:sz w:val="28"/>
          <w:szCs w:val="28"/>
          <w:lang w:val="en-US"/>
        </w:rPr>
        <w:t>12</w:t>
      </w:r>
      <w:r w:rsidR="00E41FC9" w:rsidRPr="002E4239">
        <w:rPr>
          <w:rFonts w:ascii="Times New Roman" w:hAnsi="Times New Roman" w:cs="Times New Roman"/>
          <w:b/>
          <w:bCs/>
          <w:color w:val="auto"/>
          <w:sz w:val="28"/>
          <w:szCs w:val="28"/>
          <w:lang w:val="en-US"/>
        </w:rPr>
        <w:t xml:space="preserve"> NĂM 202</w:t>
      </w:r>
      <w:r w:rsidR="00E41FC9">
        <w:rPr>
          <w:rFonts w:ascii="Times New Roman" w:hAnsi="Times New Roman" w:cs="Times New Roman"/>
          <w:b/>
          <w:bCs/>
          <w:color w:val="auto"/>
          <w:sz w:val="28"/>
          <w:szCs w:val="28"/>
          <w:lang w:val="en-US"/>
        </w:rPr>
        <w:t xml:space="preserve">4 </w:t>
      </w:r>
      <w:r w:rsidR="008A4B1B" w:rsidRPr="002E4239">
        <w:rPr>
          <w:rFonts w:ascii="Times New Roman" w:hAnsi="Times New Roman" w:cs="Times New Roman"/>
          <w:b/>
          <w:bCs/>
          <w:color w:val="auto"/>
          <w:sz w:val="28"/>
          <w:szCs w:val="28"/>
          <w:lang w:val="en-US"/>
        </w:rPr>
        <w:t>CỦA UBND TỈNH BÌNH PHƯỚC (CŨ)</w:t>
      </w:r>
      <w:r w:rsidR="00F811E5" w:rsidRPr="002E4239">
        <w:rPr>
          <w:rFonts w:ascii="Times New Roman" w:hAnsi="Times New Roman" w:cs="Times New Roman"/>
          <w:b/>
          <w:bCs/>
          <w:color w:val="auto"/>
          <w:sz w:val="28"/>
          <w:szCs w:val="28"/>
          <w:lang w:val="en-US"/>
        </w:rPr>
        <w:t>,</w:t>
      </w:r>
      <w:r w:rsidR="008A4B1B" w:rsidRPr="002E4239">
        <w:rPr>
          <w:rFonts w:ascii="Times New Roman" w:hAnsi="Times New Roman" w:cs="Times New Roman"/>
          <w:b/>
          <w:bCs/>
          <w:color w:val="auto"/>
          <w:sz w:val="28"/>
          <w:szCs w:val="28"/>
          <w:lang w:val="en-US"/>
        </w:rPr>
        <w:t xml:space="preserve"> </w:t>
      </w:r>
      <w:r w:rsidR="00F811E5" w:rsidRPr="002E4239">
        <w:rPr>
          <w:rFonts w:ascii="Times New Roman" w:hAnsi="Times New Roman" w:cs="Times New Roman"/>
          <w:b/>
          <w:bCs/>
          <w:color w:val="auto"/>
          <w:sz w:val="28"/>
          <w:szCs w:val="28"/>
          <w:lang w:val="en-US"/>
        </w:rPr>
        <w:t xml:space="preserve">QUYẾT ĐỊNH SỐ </w:t>
      </w:r>
      <w:r w:rsidR="00E41FC9" w:rsidRPr="00E41FC9">
        <w:rPr>
          <w:rFonts w:ascii="Times New Roman" w:hAnsi="Times New Roman" w:cs="Times New Roman"/>
          <w:b/>
          <w:bCs/>
          <w:color w:val="auto"/>
          <w:sz w:val="28"/>
          <w:szCs w:val="28"/>
        </w:rPr>
        <w:t>56/2022/QĐ-UBND</w:t>
      </w:r>
      <w:r w:rsidR="00E41FC9">
        <w:rPr>
          <w:rFonts w:ascii="Times New Roman" w:hAnsi="Times New Roman" w:cs="Times New Roman"/>
          <w:b/>
          <w:bCs/>
          <w:color w:val="auto"/>
          <w:sz w:val="28"/>
          <w:szCs w:val="28"/>
          <w:lang w:val="en-US"/>
        </w:rPr>
        <w:t xml:space="preserve"> </w:t>
      </w:r>
      <w:r w:rsidR="00F811E5" w:rsidRPr="002E4239">
        <w:rPr>
          <w:rFonts w:ascii="Times New Roman" w:hAnsi="Times New Roman" w:cs="Times New Roman"/>
          <w:b/>
          <w:bCs/>
          <w:color w:val="auto"/>
          <w:sz w:val="28"/>
          <w:szCs w:val="28"/>
          <w:lang w:val="en-US"/>
        </w:rPr>
        <w:t xml:space="preserve">NGÀY </w:t>
      </w:r>
      <w:r w:rsidR="00E41FC9">
        <w:rPr>
          <w:rFonts w:ascii="Times New Roman" w:hAnsi="Times New Roman" w:cs="Times New Roman"/>
          <w:b/>
          <w:bCs/>
          <w:color w:val="auto"/>
          <w:sz w:val="28"/>
          <w:szCs w:val="28"/>
          <w:lang w:val="en-US"/>
        </w:rPr>
        <w:t>19</w:t>
      </w:r>
      <w:r w:rsidR="00F811E5" w:rsidRPr="002E4239">
        <w:rPr>
          <w:rFonts w:ascii="Times New Roman" w:hAnsi="Times New Roman" w:cs="Times New Roman"/>
          <w:b/>
          <w:bCs/>
          <w:color w:val="auto"/>
          <w:sz w:val="28"/>
          <w:szCs w:val="28"/>
          <w:lang w:val="en-US"/>
        </w:rPr>
        <w:t xml:space="preserve"> THÁNG </w:t>
      </w:r>
      <w:r w:rsidR="00E41FC9">
        <w:rPr>
          <w:rFonts w:ascii="Times New Roman" w:hAnsi="Times New Roman" w:cs="Times New Roman"/>
          <w:b/>
          <w:bCs/>
          <w:color w:val="auto"/>
          <w:sz w:val="28"/>
          <w:szCs w:val="28"/>
          <w:lang w:val="en-US"/>
        </w:rPr>
        <w:t xml:space="preserve">12 </w:t>
      </w:r>
      <w:r w:rsidR="00F811E5" w:rsidRPr="002E4239">
        <w:rPr>
          <w:rFonts w:ascii="Times New Roman" w:hAnsi="Times New Roman" w:cs="Times New Roman"/>
          <w:b/>
          <w:bCs/>
          <w:color w:val="auto"/>
          <w:sz w:val="28"/>
          <w:szCs w:val="28"/>
          <w:lang w:val="en-US"/>
        </w:rPr>
        <w:t>NĂM 202</w:t>
      </w:r>
      <w:r w:rsidR="00E41FC9">
        <w:rPr>
          <w:rFonts w:ascii="Times New Roman" w:hAnsi="Times New Roman" w:cs="Times New Roman"/>
          <w:b/>
          <w:bCs/>
          <w:color w:val="auto"/>
          <w:sz w:val="28"/>
          <w:szCs w:val="28"/>
          <w:lang w:val="en-US"/>
        </w:rPr>
        <w:t xml:space="preserve">2 </w:t>
      </w:r>
      <w:r w:rsidR="00E41FC9" w:rsidRPr="002E4239">
        <w:rPr>
          <w:rFonts w:ascii="Times New Roman" w:hAnsi="Times New Roman" w:cs="Times New Roman"/>
          <w:b/>
          <w:bCs/>
          <w:color w:val="auto"/>
          <w:sz w:val="28"/>
          <w:szCs w:val="28"/>
          <w:lang w:val="en-US"/>
        </w:rPr>
        <w:t>CỦA UBND TỈNH ĐỒNG NAI (CŨ)</w:t>
      </w:r>
      <w:r w:rsidR="00E41FC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QUYẾT ĐỊNH SỐ </w:t>
      </w:r>
      <w:r w:rsidR="00E41FC9" w:rsidRPr="00E41FC9">
        <w:rPr>
          <w:rFonts w:ascii="Times New Roman" w:hAnsi="Times New Roman" w:cs="Times New Roman"/>
          <w:b/>
          <w:bCs/>
          <w:color w:val="auto"/>
          <w:sz w:val="28"/>
          <w:szCs w:val="28"/>
        </w:rPr>
        <w:t>86/2024/QĐ-UBND</w:t>
      </w:r>
      <w:r w:rsidR="00E41FC9">
        <w:rPr>
          <w:rFonts w:ascii="Times New Roman" w:hAnsi="Times New Roman" w:cs="Times New Roman"/>
          <w:b/>
          <w:bCs/>
          <w:color w:val="auto"/>
          <w:sz w:val="28"/>
          <w:szCs w:val="28"/>
          <w:lang w:val="en-US"/>
        </w:rPr>
        <w:t xml:space="preserve"> </w:t>
      </w:r>
      <w:r w:rsidR="00E41FC9" w:rsidRPr="002E4239">
        <w:rPr>
          <w:rFonts w:ascii="Times New Roman" w:hAnsi="Times New Roman" w:cs="Times New Roman"/>
          <w:b/>
          <w:bCs/>
          <w:color w:val="auto"/>
          <w:sz w:val="28"/>
          <w:szCs w:val="28"/>
          <w:lang w:val="en-US"/>
        </w:rPr>
        <w:t xml:space="preserve">NGÀY </w:t>
      </w:r>
      <w:r w:rsidR="00E41FC9">
        <w:rPr>
          <w:rFonts w:ascii="Times New Roman" w:hAnsi="Times New Roman" w:cs="Times New Roman"/>
          <w:b/>
          <w:bCs/>
          <w:color w:val="auto"/>
          <w:sz w:val="28"/>
          <w:szCs w:val="28"/>
          <w:lang w:val="en-US"/>
        </w:rPr>
        <w:t>27</w:t>
      </w:r>
      <w:r w:rsidR="00E41FC9" w:rsidRPr="002E4239">
        <w:rPr>
          <w:rFonts w:ascii="Times New Roman" w:hAnsi="Times New Roman" w:cs="Times New Roman"/>
          <w:b/>
          <w:bCs/>
          <w:color w:val="auto"/>
          <w:sz w:val="28"/>
          <w:szCs w:val="28"/>
          <w:lang w:val="en-US"/>
        </w:rPr>
        <w:t xml:space="preserve"> THÁNG </w:t>
      </w:r>
      <w:r w:rsidR="00E41FC9">
        <w:rPr>
          <w:rFonts w:ascii="Times New Roman" w:hAnsi="Times New Roman" w:cs="Times New Roman"/>
          <w:b/>
          <w:bCs/>
          <w:color w:val="auto"/>
          <w:sz w:val="28"/>
          <w:szCs w:val="28"/>
          <w:lang w:val="en-US"/>
        </w:rPr>
        <w:t xml:space="preserve">12 </w:t>
      </w:r>
      <w:r w:rsidR="00E41FC9" w:rsidRPr="002E4239">
        <w:rPr>
          <w:rFonts w:ascii="Times New Roman" w:hAnsi="Times New Roman" w:cs="Times New Roman"/>
          <w:b/>
          <w:bCs/>
          <w:color w:val="auto"/>
          <w:sz w:val="28"/>
          <w:szCs w:val="28"/>
          <w:lang w:val="en-US"/>
        </w:rPr>
        <w:t>NĂM 202</w:t>
      </w:r>
      <w:r w:rsidR="00E41FC9">
        <w:rPr>
          <w:rFonts w:ascii="Times New Roman" w:hAnsi="Times New Roman" w:cs="Times New Roman"/>
          <w:b/>
          <w:bCs/>
          <w:color w:val="auto"/>
          <w:sz w:val="28"/>
          <w:szCs w:val="28"/>
          <w:lang w:val="en-US"/>
        </w:rPr>
        <w:t>4</w:t>
      </w:r>
      <w:r w:rsidR="00F811E5" w:rsidRPr="002E4239">
        <w:rPr>
          <w:rFonts w:ascii="Times New Roman" w:hAnsi="Times New Roman" w:cs="Times New Roman"/>
          <w:b/>
          <w:bCs/>
          <w:color w:val="auto"/>
          <w:sz w:val="28"/>
          <w:szCs w:val="28"/>
          <w:lang w:val="en-US"/>
        </w:rPr>
        <w:t xml:space="preserve"> CỦA UBND TỈNH ĐỒNG NAI (CŨ)</w:t>
      </w:r>
      <w:r w:rsidR="00E41FC9">
        <w:rPr>
          <w:rFonts w:ascii="Times New Roman" w:hAnsi="Times New Roman" w:cs="Times New Roman"/>
          <w:b/>
          <w:bCs/>
          <w:color w:val="auto"/>
          <w:sz w:val="28"/>
          <w:szCs w:val="28"/>
          <w:lang w:val="en-US"/>
        </w:rPr>
        <w:t xml:space="preserve"> </w:t>
      </w:r>
      <w:r w:rsidRPr="002E4239">
        <w:rPr>
          <w:rFonts w:ascii="Times New Roman" w:hAnsi="Times New Roman" w:cs="Times New Roman"/>
          <w:b/>
          <w:bCs/>
          <w:color w:val="auto"/>
          <w:sz w:val="28"/>
          <w:szCs w:val="28"/>
          <w:lang w:val="en-US"/>
        </w:rPr>
        <w:t xml:space="preserve">VÀ DỰ THẢO </w:t>
      </w:r>
      <w:r w:rsidR="008A4B1B" w:rsidRPr="002E4239">
        <w:rPr>
          <w:rFonts w:ascii="Times New Roman" w:hAnsi="Times New Roman" w:cs="Times New Roman"/>
          <w:b/>
          <w:bCs/>
          <w:color w:val="auto"/>
          <w:sz w:val="28"/>
          <w:szCs w:val="28"/>
          <w:lang w:val="en-US"/>
        </w:rPr>
        <w:t>THAY THẾ</w:t>
      </w:r>
    </w:p>
    <w:p w14:paraId="4E4555D2" w14:textId="77777777" w:rsidR="009F34BE" w:rsidRPr="009F34BE" w:rsidRDefault="009F34BE" w:rsidP="009F34BE">
      <w:pPr>
        <w:spacing w:after="240"/>
        <w:jc w:val="center"/>
        <w:rPr>
          <w:rFonts w:ascii="Times New Roman" w:hAnsi="Times New Roman" w:cs="Times New Roman"/>
          <w:b/>
          <w:bCs/>
          <w:i/>
          <w:color w:val="auto"/>
          <w:sz w:val="28"/>
          <w:szCs w:val="28"/>
          <w:lang w:val="en-US"/>
        </w:rPr>
      </w:pPr>
      <w:r w:rsidRPr="009F34BE">
        <w:rPr>
          <w:rFonts w:ascii="Times New Roman" w:hAnsi="Times New Roman" w:cs="Times New Roman"/>
          <w:b/>
          <w:bCs/>
          <w:i/>
          <w:color w:val="auto"/>
          <w:sz w:val="28"/>
          <w:szCs w:val="28"/>
          <w:lang w:val="en-US"/>
        </w:rPr>
        <w:t>(Xin ý kiến)</w:t>
      </w:r>
    </w:p>
    <w:tbl>
      <w:tblPr>
        <w:tblOverlap w:val="never"/>
        <w:tblW w:w="501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firstRow="1" w:lastRow="0" w:firstColumn="1" w:lastColumn="0" w:noHBand="0" w:noVBand="1"/>
      </w:tblPr>
      <w:tblGrid>
        <w:gridCol w:w="4898"/>
        <w:gridCol w:w="4678"/>
        <w:gridCol w:w="3871"/>
        <w:gridCol w:w="2314"/>
      </w:tblGrid>
      <w:tr w:rsidR="00E642D6" w:rsidRPr="002E4239" w14:paraId="44186480" w14:textId="77777777" w:rsidTr="00A85FA1">
        <w:trPr>
          <w:trHeight w:val="526"/>
          <w:tblHeader/>
          <w:jc w:val="center"/>
        </w:trPr>
        <w:tc>
          <w:tcPr>
            <w:tcW w:w="3038" w:type="pct"/>
            <w:gridSpan w:val="2"/>
            <w:shd w:val="clear" w:color="auto" w:fill="FFFFFF"/>
            <w:vAlign w:val="center"/>
          </w:tcPr>
          <w:p w14:paraId="49790CFA" w14:textId="733E4FD1" w:rsidR="00E642D6" w:rsidRPr="002E4239" w:rsidRDefault="00E642D6" w:rsidP="00EB103A">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lang w:val="en-US"/>
              </w:rPr>
              <w:t>VĂN BẢN ĐƯỢC THAY THẾ</w:t>
            </w:r>
          </w:p>
        </w:tc>
        <w:tc>
          <w:tcPr>
            <w:tcW w:w="1228" w:type="pct"/>
            <w:vMerge w:val="restart"/>
            <w:shd w:val="clear" w:color="auto" w:fill="FFFFFF"/>
            <w:vAlign w:val="center"/>
          </w:tcPr>
          <w:p w14:paraId="1F5FB574" w14:textId="267DB237" w:rsidR="00E642D6" w:rsidRPr="002E4239" w:rsidRDefault="00E642D6" w:rsidP="00EB103A">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rPr>
              <w:t>D</w:t>
            </w:r>
            <w:r w:rsidRPr="002E4239">
              <w:rPr>
                <w:rFonts w:ascii="Times New Roman" w:hAnsi="Times New Roman" w:cs="Times New Roman"/>
                <w:b/>
                <w:bCs/>
                <w:color w:val="auto"/>
                <w:lang w:val="en-US"/>
              </w:rPr>
              <w:t>Ự</w:t>
            </w:r>
            <w:r w:rsidRPr="002E4239">
              <w:rPr>
                <w:rFonts w:ascii="Times New Roman" w:hAnsi="Times New Roman" w:cs="Times New Roman"/>
                <w:b/>
                <w:bCs/>
                <w:color w:val="auto"/>
              </w:rPr>
              <w:t xml:space="preserve"> THẢO VĂN BẢN</w:t>
            </w:r>
          </w:p>
        </w:tc>
        <w:tc>
          <w:tcPr>
            <w:tcW w:w="734" w:type="pct"/>
            <w:vMerge w:val="restart"/>
            <w:shd w:val="clear" w:color="auto" w:fill="FFFFFF"/>
            <w:vAlign w:val="center"/>
          </w:tcPr>
          <w:p w14:paraId="35C0E4DB" w14:textId="77777777" w:rsidR="00E642D6" w:rsidRPr="002E4239" w:rsidRDefault="00E642D6" w:rsidP="00917D7F">
            <w:pPr>
              <w:spacing w:before="60" w:after="60"/>
              <w:ind w:right="41" w:firstLine="62"/>
              <w:jc w:val="center"/>
              <w:rPr>
                <w:rFonts w:ascii="Times New Roman" w:hAnsi="Times New Roman" w:cs="Times New Roman"/>
                <w:b/>
                <w:bCs/>
                <w:color w:val="auto"/>
              </w:rPr>
            </w:pPr>
            <w:r w:rsidRPr="002E4239">
              <w:rPr>
                <w:rFonts w:ascii="Times New Roman" w:hAnsi="Times New Roman" w:cs="Times New Roman"/>
                <w:b/>
                <w:bCs/>
                <w:color w:val="auto"/>
              </w:rPr>
              <w:t>THUYẾT MINH</w:t>
            </w:r>
          </w:p>
        </w:tc>
      </w:tr>
      <w:tr w:rsidR="00E642D6" w:rsidRPr="002E4239" w14:paraId="1E3D41FB" w14:textId="77777777" w:rsidTr="00A85FA1">
        <w:trPr>
          <w:trHeight w:val="1795"/>
          <w:tblHeader/>
          <w:jc w:val="center"/>
        </w:trPr>
        <w:tc>
          <w:tcPr>
            <w:tcW w:w="1554" w:type="pct"/>
            <w:shd w:val="clear" w:color="auto" w:fill="FFFFFF"/>
            <w:vAlign w:val="center"/>
          </w:tcPr>
          <w:p w14:paraId="76D44C27" w14:textId="4AA30B6F" w:rsidR="00E642D6" w:rsidRPr="002E4239" w:rsidRDefault="00E642D6" w:rsidP="00917D7F">
            <w:pPr>
              <w:spacing w:before="60" w:after="60"/>
              <w:ind w:left="160" w:right="133"/>
              <w:jc w:val="center"/>
              <w:rPr>
                <w:rFonts w:ascii="Times New Roman" w:hAnsi="Times New Roman" w:cs="Times New Roman"/>
                <w:b/>
                <w:bCs/>
                <w:color w:val="auto"/>
              </w:rPr>
            </w:pPr>
            <w:r w:rsidRPr="005726F2">
              <w:rPr>
                <w:rFonts w:ascii="Times New Roman" w:hAnsi="Times New Roman" w:cs="Times New Roman"/>
                <w:b/>
                <w:bCs/>
                <w:color w:val="auto"/>
                <w:lang w:val="en-US"/>
              </w:rPr>
              <w:t xml:space="preserve">QUYẾT ĐỊNH SỐ </w:t>
            </w:r>
            <w:r w:rsidRPr="005726F2">
              <w:rPr>
                <w:rFonts w:ascii="Times New Roman" w:hAnsi="Times New Roman" w:cs="Times New Roman"/>
                <w:b/>
                <w:bCs/>
                <w:color w:val="auto"/>
              </w:rPr>
              <w:t>52/2024/QĐ-UBND</w:t>
            </w:r>
            <w:r w:rsidRPr="005726F2">
              <w:rPr>
                <w:rFonts w:ascii="Times New Roman" w:hAnsi="Times New Roman" w:cs="Times New Roman"/>
                <w:b/>
                <w:bCs/>
                <w:color w:val="auto"/>
                <w:lang w:val="en-US"/>
              </w:rPr>
              <w:t xml:space="preserve"> NGÀY 27 THÁNG 12 NĂM 2024 CỦA UBND TỈNH BÌNH PHƯỚC (CŨ)</w:t>
            </w:r>
            <w:r>
              <w:rPr>
                <w:rFonts w:ascii="Times New Roman" w:hAnsi="Times New Roman" w:cs="Times New Roman"/>
                <w:b/>
                <w:bCs/>
                <w:color w:val="auto"/>
                <w:lang w:val="en-US"/>
              </w:rPr>
              <w:t xml:space="preserve"> VÀ </w:t>
            </w:r>
            <w:r w:rsidRPr="005726F2">
              <w:rPr>
                <w:rFonts w:ascii="Times New Roman" w:hAnsi="Times New Roman" w:cs="Times New Roman"/>
                <w:b/>
                <w:bCs/>
                <w:color w:val="auto"/>
                <w:lang w:val="en-US"/>
              </w:rPr>
              <w:t xml:space="preserve">QUYẾT ĐỊNH SỐ </w:t>
            </w:r>
            <w:r w:rsidRPr="005726F2">
              <w:rPr>
                <w:rFonts w:ascii="Times New Roman" w:hAnsi="Times New Roman" w:cs="Times New Roman"/>
                <w:b/>
                <w:bCs/>
                <w:color w:val="auto"/>
              </w:rPr>
              <w:t>18/2020/QĐ-UBND</w:t>
            </w:r>
            <w:r w:rsidRPr="005726F2">
              <w:rPr>
                <w:rFonts w:ascii="Times New Roman" w:hAnsi="Times New Roman" w:cs="Times New Roman"/>
                <w:b/>
                <w:bCs/>
                <w:color w:val="auto"/>
                <w:lang w:val="en-US"/>
              </w:rPr>
              <w:t xml:space="preserve"> NGÀY 12 THÁNG 08 NĂM 2020 CỦA UBND TỈNH BÌNH PHƯỚC (CŨ)</w:t>
            </w:r>
          </w:p>
        </w:tc>
        <w:tc>
          <w:tcPr>
            <w:tcW w:w="1484" w:type="pct"/>
            <w:shd w:val="clear" w:color="auto" w:fill="FFFFFF"/>
          </w:tcPr>
          <w:p w14:paraId="497A6336" w14:textId="1F747134" w:rsidR="00E642D6" w:rsidRPr="002E4239" w:rsidRDefault="00E642D6" w:rsidP="00E642D6">
            <w:pPr>
              <w:spacing w:before="60" w:after="60"/>
              <w:ind w:left="160" w:right="133"/>
              <w:jc w:val="center"/>
              <w:rPr>
                <w:rFonts w:ascii="Times New Roman" w:hAnsi="Times New Roman" w:cs="Times New Roman"/>
                <w:b/>
                <w:bCs/>
                <w:color w:val="auto"/>
              </w:rPr>
            </w:pPr>
            <w:r w:rsidRPr="00E642D6">
              <w:rPr>
                <w:rFonts w:ascii="Times New Roman" w:hAnsi="Times New Roman" w:cs="Times New Roman"/>
                <w:b/>
                <w:bCs/>
                <w:color w:val="auto"/>
                <w:lang w:val="en-US"/>
              </w:rPr>
              <w:t>QUYẾT ĐỊNH SỐ 56/2022/QĐ-UBND NGÀY 19 THÁNG 12 NĂM 2022 CỦA UBND TỈNH ĐỒNG NAI (CŨ), QUYẾT ĐỊNH SỐ 86/2024/QĐ-UBND NGÀY 27 THÁNG 12 NĂM 2024 CỦA UBND TỈNH ĐỒNG NAI (CŨ)</w:t>
            </w:r>
          </w:p>
        </w:tc>
        <w:tc>
          <w:tcPr>
            <w:tcW w:w="1228" w:type="pct"/>
            <w:vMerge/>
            <w:shd w:val="clear" w:color="auto" w:fill="FFFFFF"/>
            <w:vAlign w:val="center"/>
          </w:tcPr>
          <w:p w14:paraId="77CE153D" w14:textId="62527563" w:rsidR="00E642D6" w:rsidRPr="002E4239" w:rsidRDefault="00E642D6" w:rsidP="00EB103A">
            <w:pPr>
              <w:spacing w:before="60" w:after="60"/>
              <w:ind w:left="127" w:right="137"/>
              <w:jc w:val="center"/>
              <w:rPr>
                <w:rFonts w:ascii="Times New Roman" w:hAnsi="Times New Roman" w:cs="Times New Roman"/>
                <w:b/>
                <w:bCs/>
                <w:color w:val="auto"/>
              </w:rPr>
            </w:pPr>
          </w:p>
        </w:tc>
        <w:tc>
          <w:tcPr>
            <w:tcW w:w="734" w:type="pct"/>
            <w:vMerge/>
            <w:shd w:val="clear" w:color="auto" w:fill="FFFFFF"/>
            <w:vAlign w:val="center"/>
          </w:tcPr>
          <w:p w14:paraId="3811CEF4" w14:textId="77777777" w:rsidR="00E642D6" w:rsidRPr="002E4239" w:rsidRDefault="00E642D6" w:rsidP="00917D7F">
            <w:pPr>
              <w:spacing w:before="60" w:after="60"/>
              <w:ind w:right="41" w:firstLine="62"/>
              <w:jc w:val="center"/>
              <w:rPr>
                <w:rFonts w:ascii="Times New Roman" w:hAnsi="Times New Roman" w:cs="Times New Roman"/>
                <w:b/>
                <w:bCs/>
                <w:color w:val="auto"/>
              </w:rPr>
            </w:pPr>
          </w:p>
        </w:tc>
      </w:tr>
      <w:tr w:rsidR="00E642D6" w:rsidRPr="002E4239" w14:paraId="517D3C62" w14:textId="77777777" w:rsidTr="00A85FA1">
        <w:trPr>
          <w:trHeight w:val="20"/>
          <w:jc w:val="center"/>
        </w:trPr>
        <w:tc>
          <w:tcPr>
            <w:tcW w:w="1554" w:type="pct"/>
            <w:shd w:val="clear" w:color="auto" w:fill="FFFFFF"/>
          </w:tcPr>
          <w:p w14:paraId="2BF9AA6C" w14:textId="77777777" w:rsidR="008D33A6" w:rsidRDefault="008D33A6" w:rsidP="008D33A6">
            <w:pPr>
              <w:spacing w:before="60" w:after="60"/>
              <w:ind w:right="133"/>
              <w:jc w:val="both"/>
              <w:rPr>
                <w:rFonts w:ascii="Times New Roman" w:hAnsi="Times New Roman" w:cs="Times New Roman"/>
                <w:b/>
                <w:color w:val="auto"/>
                <w:lang w:val="en-US"/>
              </w:rPr>
            </w:pPr>
            <w:r w:rsidRPr="0059548B">
              <w:rPr>
                <w:rFonts w:ascii="Times New Roman" w:hAnsi="Times New Roman" w:cs="Times New Roman"/>
                <w:b/>
                <w:color w:val="auto"/>
                <w:lang w:val="en-US"/>
              </w:rPr>
              <w:t xml:space="preserve">Khoản 2 Điều 1 Quyết định số </w:t>
            </w:r>
            <w:r w:rsidRPr="0059548B">
              <w:rPr>
                <w:rFonts w:ascii="Times New Roman" w:hAnsi="Times New Roman" w:cs="Times New Roman"/>
                <w:b/>
                <w:color w:val="auto"/>
              </w:rPr>
              <w:t>52/2024/QĐ-UBND</w:t>
            </w:r>
            <w:r w:rsidRPr="0059548B">
              <w:rPr>
                <w:rFonts w:ascii="Times New Roman" w:hAnsi="Times New Roman" w:cs="Times New Roman"/>
                <w:b/>
                <w:color w:val="auto"/>
                <w:lang w:val="en-US"/>
              </w:rPr>
              <w:t xml:space="preserve"> ngày 27/12/2024 của UBND tỉnh Bình Phước (cũ):</w:t>
            </w:r>
          </w:p>
          <w:p w14:paraId="240BBC51" w14:textId="77777777" w:rsidR="008D33A6" w:rsidRPr="008F10FC" w:rsidRDefault="008D33A6" w:rsidP="008D33A6">
            <w:pPr>
              <w:spacing w:before="60" w:after="60"/>
              <w:ind w:right="133"/>
              <w:jc w:val="both"/>
              <w:rPr>
                <w:rFonts w:ascii="Times New Roman" w:hAnsi="Times New Roman" w:cs="Times New Roman"/>
                <w:b/>
                <w:color w:val="auto"/>
                <w:shd w:val="clear" w:color="auto" w:fill="FFFFFF"/>
                <w:lang w:val="en-US"/>
              </w:rPr>
            </w:pPr>
            <w:r w:rsidRPr="008F10FC">
              <w:rPr>
                <w:rFonts w:ascii="Times New Roman" w:hAnsi="Times New Roman" w:cs="Times New Roman"/>
                <w:b/>
                <w:bCs/>
                <w:color w:val="auto"/>
                <w:shd w:val="clear" w:color="auto" w:fill="FFFFFF"/>
              </w:rPr>
              <w:t>“Điều 4. Quy định khu vực, cấp đô thị, vị trí đất, phạm vi đất, loại đường giao thông</w:t>
            </w:r>
          </w:p>
          <w:p w14:paraId="32CDA8EE"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1. Phân khu vực:</w:t>
            </w:r>
          </w:p>
          <w:p w14:paraId="16D671DA"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 xml:space="preserve">a) Khu vực 1: Các phường thuộc thành phố Đồng Xoài; các phường thuộc thị xã Phước Long, thị xã Bình Long, thị xã Chơn Thành; các </w:t>
            </w:r>
            <w:r w:rsidRPr="008D33A6">
              <w:rPr>
                <w:rFonts w:ascii="Times New Roman" w:hAnsi="Times New Roman" w:cs="Times New Roman"/>
                <w:color w:val="auto"/>
                <w:shd w:val="clear" w:color="auto" w:fill="FFFFFF"/>
              </w:rPr>
              <w:lastRenderedPageBreak/>
              <w:t>thị trấn thuộc các huyện; các xã được cơ quan có thẩm quyền công nhận đạt đô thị loại V;</w:t>
            </w:r>
          </w:p>
          <w:p w14:paraId="3BDA854C"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b) Khu vực 2: Các xã thuộc các huyện, thị xã, thành phố (trừ các xã thuộc khu vực 1).</w:t>
            </w:r>
          </w:p>
          <w:p w14:paraId="49388AED"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2. Cấp đô thị:</w:t>
            </w:r>
          </w:p>
          <w:p w14:paraId="19368988"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a) Đô thị loại III: Thành phố Đồng Xoài;</w:t>
            </w:r>
          </w:p>
          <w:p w14:paraId="5C46DB4E"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b) Đô thị loại IV: Thị xã Phước Long, thị xã Bình Long, thị xã Chơn Thành;</w:t>
            </w:r>
          </w:p>
          <w:p w14:paraId="25582251" w14:textId="77777777" w:rsidR="008D33A6" w:rsidRPr="008D33A6" w:rsidRDefault="008D33A6" w:rsidP="008D33A6">
            <w:pPr>
              <w:spacing w:before="60" w:after="60"/>
              <w:ind w:right="133"/>
              <w:jc w:val="both"/>
              <w:rPr>
                <w:rFonts w:ascii="Times New Roman" w:hAnsi="Times New Roman" w:cs="Times New Roman"/>
                <w:color w:val="auto"/>
                <w:shd w:val="clear" w:color="auto" w:fill="FFFFFF"/>
                <w:lang w:val="en-US"/>
              </w:rPr>
            </w:pPr>
            <w:r w:rsidRPr="008D33A6">
              <w:rPr>
                <w:rFonts w:ascii="Times New Roman" w:hAnsi="Times New Roman" w:cs="Times New Roman"/>
                <w:color w:val="auto"/>
                <w:shd w:val="clear" w:color="auto" w:fill="FFFFFF"/>
              </w:rPr>
              <w:t>c) Đô thị loại V: Thị trấn các huyện, các xã được cơ quan có thẩm quyền công nhận đạt đô thị loại V.</w:t>
            </w:r>
          </w:p>
          <w:p w14:paraId="369CA0BB" w14:textId="2E3E6D73" w:rsidR="00E642D6" w:rsidRPr="008F10FC" w:rsidRDefault="00E642D6" w:rsidP="00BA660F">
            <w:pPr>
              <w:spacing w:before="60" w:after="60"/>
              <w:ind w:right="133"/>
              <w:jc w:val="both"/>
              <w:rPr>
                <w:rFonts w:ascii="Times New Roman" w:hAnsi="Times New Roman" w:cs="Times New Roman"/>
                <w:color w:val="auto"/>
                <w:highlight w:val="red"/>
                <w:shd w:val="clear" w:color="auto" w:fill="FFFFFF"/>
                <w:lang w:val="en-US"/>
              </w:rPr>
            </w:pPr>
          </w:p>
        </w:tc>
        <w:tc>
          <w:tcPr>
            <w:tcW w:w="1484" w:type="pct"/>
            <w:shd w:val="clear" w:color="auto" w:fill="FFFFFF"/>
          </w:tcPr>
          <w:p w14:paraId="1FA1559C" w14:textId="7B61ED32" w:rsidR="008D33A6" w:rsidRDefault="008D33A6" w:rsidP="008D33A6">
            <w:pPr>
              <w:spacing w:before="60" w:after="60"/>
              <w:ind w:right="137"/>
              <w:jc w:val="both"/>
              <w:rPr>
                <w:rFonts w:ascii="Times New Roman" w:hAnsi="Times New Roman" w:cs="Times New Roman"/>
                <w:b/>
                <w:bCs/>
                <w:color w:val="auto"/>
                <w:lang w:val="en-US"/>
              </w:rPr>
            </w:pPr>
            <w:r>
              <w:rPr>
                <w:rFonts w:ascii="Times New Roman" w:hAnsi="Times New Roman" w:cs="Times New Roman"/>
                <w:b/>
                <w:bCs/>
                <w:color w:val="auto"/>
                <w:lang w:val="en-US"/>
              </w:rPr>
              <w:lastRenderedPageBreak/>
              <w:t xml:space="preserve">Điều 4 Quyết định số </w:t>
            </w:r>
            <w:r w:rsidRPr="00A85FA1">
              <w:rPr>
                <w:rFonts w:ascii="Times New Roman" w:hAnsi="Times New Roman" w:cs="Times New Roman"/>
                <w:b/>
                <w:bCs/>
                <w:color w:val="auto"/>
              </w:rPr>
              <w:t>56/2022/QĐ-UBND</w:t>
            </w:r>
            <w:r>
              <w:rPr>
                <w:rFonts w:ascii="Times New Roman" w:hAnsi="Times New Roman" w:cs="Times New Roman"/>
                <w:b/>
                <w:bCs/>
                <w:color w:val="auto"/>
                <w:lang w:val="en-US"/>
              </w:rPr>
              <w:t>:</w:t>
            </w:r>
          </w:p>
          <w:p w14:paraId="759EF876" w14:textId="7E6C6666" w:rsidR="008D33A6" w:rsidRPr="008D33A6" w:rsidRDefault="008D33A6" w:rsidP="008D33A6">
            <w:pPr>
              <w:spacing w:before="60" w:after="60"/>
              <w:ind w:right="137"/>
              <w:jc w:val="both"/>
              <w:rPr>
                <w:rFonts w:ascii="Times New Roman" w:hAnsi="Times New Roman" w:cs="Times New Roman"/>
                <w:b/>
                <w:bCs/>
                <w:color w:val="auto"/>
              </w:rPr>
            </w:pPr>
            <w:r w:rsidRPr="008D33A6">
              <w:rPr>
                <w:rFonts w:ascii="Times New Roman" w:hAnsi="Times New Roman" w:cs="Times New Roman"/>
                <w:b/>
                <w:bCs/>
                <w:color w:val="auto"/>
              </w:rPr>
              <w:t>Điều 4. Phân vùng, phân khu vực</w:t>
            </w:r>
          </w:p>
          <w:p w14:paraId="6EAEC618"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1. Dân tộc thiểu số và miền núi là các xã được quy định tại Quyết định số </w:t>
            </w:r>
            <w:hyperlink r:id="rId8" w:tgtFrame="_blank" w:tooltip="Quyết định 861/QĐ-TTg" w:history="1">
              <w:r w:rsidRPr="008D33A6">
                <w:rPr>
                  <w:rFonts w:ascii="Times New Roman" w:hAnsi="Times New Roman" w:cs="Times New Roman"/>
                  <w:color w:val="auto"/>
                </w:rPr>
                <w:t>861/QĐ-TTg</w:t>
              </w:r>
            </w:hyperlink>
            <w:r w:rsidRPr="008D33A6">
              <w:rPr>
                <w:rFonts w:ascii="Times New Roman" w:hAnsi="Times New Roman" w:cs="Times New Roman"/>
                <w:color w:val="auto"/>
              </w:rPr>
              <w:t> ngày 04/6/2021 của Thủ tướng Chính phủ về việc phê duyệt danh sách các xã thuộc khu vực III, khu vực II, khu vực I thuộc vùng dân tộc thiểu số và miền núi giai đoạn 2021-2025.</w:t>
            </w:r>
          </w:p>
          <w:p w14:paraId="41F2710B"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 xml:space="preserve">2. Đồng bằng là các xã, phường, thị trấn còn </w:t>
            </w:r>
            <w:r w:rsidRPr="008D33A6">
              <w:rPr>
                <w:rFonts w:ascii="Times New Roman" w:hAnsi="Times New Roman" w:cs="Times New Roman"/>
                <w:color w:val="auto"/>
              </w:rPr>
              <w:lastRenderedPageBreak/>
              <w:t>lại trên địa bàn tỉnh ngoài các xã, thị trấn quy định tại khoản 1 Điều này.</w:t>
            </w:r>
          </w:p>
          <w:p w14:paraId="0CE7833F"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3. Đô thị bao gồm các phường, thị trấn trên địa bàn tỉnh được cơ quan Nhà nước có thẩm quyền quyết định thành lập và xếp loại đô thị.</w:t>
            </w:r>
          </w:p>
          <w:p w14:paraId="28A2CFF8" w14:textId="77777777" w:rsidR="008D33A6" w:rsidRPr="008D33A6" w:rsidRDefault="008D33A6" w:rsidP="008D33A6">
            <w:pPr>
              <w:spacing w:before="60" w:after="60"/>
              <w:ind w:right="137"/>
              <w:jc w:val="both"/>
              <w:rPr>
                <w:rFonts w:ascii="Times New Roman" w:hAnsi="Times New Roman" w:cs="Times New Roman"/>
                <w:color w:val="auto"/>
              </w:rPr>
            </w:pPr>
            <w:r w:rsidRPr="008D33A6">
              <w:rPr>
                <w:rFonts w:ascii="Times New Roman" w:hAnsi="Times New Roman" w:cs="Times New Roman"/>
                <w:color w:val="auto"/>
              </w:rPr>
              <w:t>4. Nông thôn bao gồm các xã còn lại trên địa bàn tỉnh ngoài các phường, các thị trấn quy định tại khoản 3 Điều này.</w:t>
            </w:r>
          </w:p>
          <w:p w14:paraId="31CF07F1" w14:textId="09112CE5" w:rsidR="00E642D6" w:rsidRPr="008D33A6" w:rsidRDefault="00E642D6" w:rsidP="005F6380">
            <w:pPr>
              <w:spacing w:before="60" w:after="60"/>
              <w:ind w:right="137"/>
              <w:jc w:val="both"/>
              <w:rPr>
                <w:rFonts w:ascii="Times New Roman" w:hAnsi="Times New Roman" w:cs="Times New Roman"/>
                <w:b/>
                <w:bCs/>
                <w:color w:val="auto"/>
              </w:rPr>
            </w:pPr>
          </w:p>
        </w:tc>
        <w:tc>
          <w:tcPr>
            <w:tcW w:w="1228" w:type="pct"/>
            <w:shd w:val="clear" w:color="auto" w:fill="FFFFFF"/>
          </w:tcPr>
          <w:p w14:paraId="286D6D5F" w14:textId="5622F2C2" w:rsidR="008F10FC" w:rsidRPr="008F10FC" w:rsidRDefault="00E34160" w:rsidP="008F10FC">
            <w:pPr>
              <w:shd w:val="clear" w:color="auto" w:fill="FFFFFF"/>
              <w:spacing w:before="120"/>
              <w:ind w:left="32" w:right="108"/>
              <w:jc w:val="both"/>
              <w:rPr>
                <w:rFonts w:ascii="Times New Roman" w:hAnsi="Times New Roman" w:cs="Times New Roman"/>
                <w:b/>
                <w:bCs/>
                <w:color w:val="auto"/>
              </w:rPr>
            </w:pPr>
            <w:bookmarkStart w:id="0" w:name="dieu_4"/>
            <w:r>
              <w:rPr>
                <w:rFonts w:ascii="Times New Roman" w:hAnsi="Times New Roman" w:cs="Times New Roman"/>
                <w:b/>
                <w:bCs/>
                <w:color w:val="auto"/>
              </w:rPr>
              <w:lastRenderedPageBreak/>
              <w:t xml:space="preserve">Điều </w:t>
            </w:r>
            <w:r>
              <w:rPr>
                <w:rFonts w:ascii="Times New Roman" w:hAnsi="Times New Roman" w:cs="Times New Roman"/>
                <w:b/>
                <w:bCs/>
                <w:color w:val="auto"/>
                <w:lang w:val="en-US"/>
              </w:rPr>
              <w:t>3</w:t>
            </w:r>
            <w:r w:rsidR="008F10FC" w:rsidRPr="008F10FC">
              <w:rPr>
                <w:rFonts w:ascii="Times New Roman" w:hAnsi="Times New Roman" w:cs="Times New Roman"/>
                <w:b/>
                <w:bCs/>
                <w:color w:val="auto"/>
              </w:rPr>
              <w:t>. Phân khu vực</w:t>
            </w:r>
            <w:bookmarkEnd w:id="0"/>
          </w:p>
          <w:p w14:paraId="0909B08E" w14:textId="77777777" w:rsidR="008F10FC" w:rsidRPr="008F10FC" w:rsidRDefault="008F10FC" w:rsidP="008F10FC">
            <w:pPr>
              <w:shd w:val="clear" w:color="auto" w:fill="FFFFFF"/>
              <w:spacing w:before="120"/>
              <w:ind w:left="32" w:right="108"/>
              <w:jc w:val="both"/>
              <w:rPr>
                <w:rFonts w:ascii="Times New Roman" w:hAnsi="Times New Roman" w:cs="Times New Roman"/>
                <w:color w:val="auto"/>
                <w:lang w:val="en-US"/>
              </w:rPr>
            </w:pPr>
            <w:r w:rsidRPr="008F10FC">
              <w:rPr>
                <w:rFonts w:ascii="Times New Roman" w:hAnsi="Times New Roman" w:cs="Times New Roman"/>
                <w:color w:val="auto"/>
                <w:lang w:val="en-US"/>
              </w:rPr>
              <w:t xml:space="preserve">1. Đô thị bao gồm các phường trên địa bàn tỉnh được cơ quan Nhà nước có thẩm quyền quyết định thành lập theo Nghị quyết 1662/NQ-UBTVQH15 ngày 16/06/2025 </w:t>
            </w:r>
            <w:r w:rsidRPr="008F10FC">
              <w:rPr>
                <w:rFonts w:ascii="Times New Roman" w:hAnsi="Times New Roman" w:cs="Times New Roman"/>
                <w:iCs/>
                <w:color w:val="auto"/>
                <w:lang w:val="en-US"/>
              </w:rPr>
              <w:t>của Ủy ban thường vụ Quốc hội về việc sắp xếp các đơn vị hành chính cấp xã của tỉnh Đồng Nai năm 2025</w:t>
            </w:r>
            <w:r w:rsidRPr="008F10FC">
              <w:rPr>
                <w:rFonts w:ascii="Times New Roman" w:hAnsi="Times New Roman" w:cs="Times New Roman"/>
                <w:color w:val="auto"/>
                <w:lang w:val="en-US"/>
              </w:rPr>
              <w:t>.</w:t>
            </w:r>
          </w:p>
          <w:p w14:paraId="6AE5A36A" w14:textId="53C6DF4C" w:rsidR="00E642D6" w:rsidRPr="002E4239" w:rsidRDefault="008F10FC" w:rsidP="008F10FC">
            <w:pPr>
              <w:shd w:val="clear" w:color="auto" w:fill="FFFFFF"/>
              <w:spacing w:before="120"/>
              <w:ind w:left="32" w:right="108"/>
              <w:jc w:val="both"/>
              <w:rPr>
                <w:rFonts w:ascii="Times New Roman" w:hAnsi="Times New Roman" w:cs="Times New Roman"/>
                <w:bCs/>
                <w:i/>
                <w:color w:val="auto"/>
                <w:lang w:val="en-US"/>
              </w:rPr>
            </w:pPr>
            <w:r w:rsidRPr="008F10FC">
              <w:rPr>
                <w:rFonts w:ascii="Times New Roman" w:hAnsi="Times New Roman" w:cs="Times New Roman"/>
                <w:color w:val="auto"/>
                <w:lang w:val="en-US"/>
              </w:rPr>
              <w:lastRenderedPageBreak/>
              <w:t>2. Nông thôn bao gồm các xã còn lại trên địa bàn tỉnh ngoài các phường quy định theo Nghị quyết 1662/NQ-UBTVQH15 ngày 16/06/2025</w:t>
            </w:r>
            <w:r w:rsidRPr="008F10FC">
              <w:rPr>
                <w:rFonts w:ascii="Times New Roman" w:hAnsi="Times New Roman" w:cs="Times New Roman"/>
                <w:iCs/>
                <w:color w:val="auto"/>
                <w:lang w:val="en-US"/>
              </w:rPr>
              <w:t xml:space="preserve"> của Ủy ban thường vụ Quốc hội về việc sắp xếp các đơn vị hành chính cấp xã của tỉnh Đồng Nai năm 2025</w:t>
            </w:r>
          </w:p>
        </w:tc>
        <w:tc>
          <w:tcPr>
            <w:tcW w:w="734" w:type="pct"/>
            <w:shd w:val="clear" w:color="auto" w:fill="FFFFFF"/>
          </w:tcPr>
          <w:p w14:paraId="06BB10B9" w14:textId="475570EA" w:rsidR="00E642D6" w:rsidRPr="00643745" w:rsidRDefault="00643745" w:rsidP="00E32218">
            <w:pPr>
              <w:spacing w:before="60" w:after="60"/>
              <w:ind w:right="41"/>
              <w:jc w:val="both"/>
              <w:rPr>
                <w:rFonts w:ascii="Times New Roman" w:hAnsi="Times New Roman" w:cs="Times New Roman"/>
                <w:bCs/>
                <w:color w:val="auto"/>
                <w:lang w:val="en-US"/>
              </w:rPr>
            </w:pPr>
            <w:r w:rsidRPr="0059548B">
              <w:rPr>
                <w:rFonts w:ascii="Times New Roman" w:hAnsi="Times New Roman" w:cs="Times New Roman"/>
                <w:bCs/>
                <w:color w:val="auto"/>
                <w:lang w:val="en-US"/>
              </w:rPr>
              <w:lastRenderedPageBreak/>
              <w:t xml:space="preserve">Kế thừa </w:t>
            </w:r>
            <w:r>
              <w:rPr>
                <w:rFonts w:ascii="Times New Roman" w:hAnsi="Times New Roman" w:cs="Times New Roman"/>
                <w:bCs/>
                <w:color w:val="auto"/>
                <w:lang w:val="en-US"/>
              </w:rPr>
              <w:t xml:space="preserve">Khoản 3 Khoản 4 </w:t>
            </w:r>
            <w:r w:rsidRPr="0059548B">
              <w:rPr>
                <w:rFonts w:ascii="Times New Roman" w:hAnsi="Times New Roman" w:cs="Times New Roman"/>
                <w:bCs/>
                <w:color w:val="auto"/>
                <w:lang w:val="en-US"/>
              </w:rPr>
              <w:t xml:space="preserve">Điều </w:t>
            </w:r>
            <w:r>
              <w:rPr>
                <w:rFonts w:ascii="Times New Roman" w:hAnsi="Times New Roman" w:cs="Times New Roman"/>
                <w:bCs/>
                <w:color w:val="auto"/>
                <w:lang w:val="en-US"/>
              </w:rPr>
              <w:t>4</w:t>
            </w:r>
            <w:r w:rsidRPr="0059548B">
              <w:rPr>
                <w:rFonts w:ascii="Times New Roman" w:hAnsi="Times New Roman" w:cs="Times New Roman"/>
                <w:bCs/>
                <w:color w:val="auto"/>
                <w:lang w:val="en-US"/>
              </w:rPr>
              <w:t xml:space="preserve"> của Quyết định số </w:t>
            </w:r>
            <w:r w:rsidRPr="0059548B">
              <w:rPr>
                <w:rFonts w:ascii="Times New Roman" w:hAnsi="Times New Roman" w:cs="Times New Roman"/>
                <w:bCs/>
                <w:color w:val="auto"/>
              </w:rPr>
              <w:t>56/2022/QĐ-UBND</w:t>
            </w:r>
            <w:r w:rsidRPr="0059548B">
              <w:rPr>
                <w:rFonts w:ascii="Times New Roman" w:hAnsi="Times New Roman" w:cs="Times New Roman"/>
                <w:bCs/>
                <w:color w:val="auto"/>
                <w:lang w:val="en-US"/>
              </w:rPr>
              <w:t xml:space="preserve"> ngày 19 tháng 12 năm 2022 của UBND tỉnh Đồng Nai (cũ)</w:t>
            </w:r>
            <w:r>
              <w:rPr>
                <w:rFonts w:ascii="Times New Roman" w:hAnsi="Times New Roman" w:cs="Times New Roman"/>
                <w:bCs/>
                <w:color w:val="auto"/>
                <w:lang w:val="en-US"/>
              </w:rPr>
              <w:t xml:space="preserve"> và Khoản 2 </w:t>
            </w:r>
            <w:r w:rsidRPr="00643745">
              <w:rPr>
                <w:rFonts w:ascii="Times New Roman" w:hAnsi="Times New Roman" w:cs="Times New Roman"/>
                <w:color w:val="auto"/>
                <w:lang w:val="en-US"/>
              </w:rPr>
              <w:t xml:space="preserve">Điều 1 Quyết định số </w:t>
            </w:r>
            <w:r w:rsidRPr="00643745">
              <w:rPr>
                <w:rFonts w:ascii="Times New Roman" w:hAnsi="Times New Roman" w:cs="Times New Roman"/>
                <w:color w:val="auto"/>
              </w:rPr>
              <w:t>52/2024/QĐ-UBND</w:t>
            </w:r>
            <w:r w:rsidRPr="00643745">
              <w:rPr>
                <w:rFonts w:ascii="Times New Roman" w:hAnsi="Times New Roman" w:cs="Times New Roman"/>
                <w:color w:val="auto"/>
                <w:lang w:val="en-US"/>
              </w:rPr>
              <w:t xml:space="preserve"> ngày </w:t>
            </w:r>
            <w:r w:rsidRPr="00643745">
              <w:rPr>
                <w:rFonts w:ascii="Times New Roman" w:hAnsi="Times New Roman" w:cs="Times New Roman"/>
                <w:color w:val="auto"/>
                <w:lang w:val="en-US"/>
              </w:rPr>
              <w:lastRenderedPageBreak/>
              <w:t>27/12/2024 của UBND tỉnh Bình Phước (cũ)</w:t>
            </w:r>
            <w:r>
              <w:rPr>
                <w:rFonts w:ascii="Times New Roman" w:hAnsi="Times New Roman" w:cs="Times New Roman"/>
                <w:color w:val="auto"/>
                <w:lang w:val="en-US"/>
              </w:rPr>
              <w:t xml:space="preserve"> về điều chỉnh Khoản 1 Điều 4 </w:t>
            </w:r>
            <w:r w:rsidRPr="00643745">
              <w:rPr>
                <w:rFonts w:ascii="Times New Roman" w:hAnsi="Times New Roman" w:cs="Times New Roman"/>
                <w:color w:val="auto"/>
              </w:rPr>
              <w:t>Quyết định 18/2020/QĐ-UBND</w:t>
            </w:r>
            <w:r>
              <w:rPr>
                <w:rFonts w:ascii="Times New Roman" w:hAnsi="Times New Roman" w:cs="Times New Roman"/>
                <w:color w:val="auto"/>
                <w:lang w:val="en-US"/>
              </w:rPr>
              <w:t xml:space="preserve"> ngày 12/8/2020 của UBND tỉnh Bình Phước (cũ)</w:t>
            </w:r>
          </w:p>
        </w:tc>
      </w:tr>
      <w:tr w:rsidR="00E642D6" w:rsidRPr="002E4239" w14:paraId="70F70496" w14:textId="77777777" w:rsidTr="00A85FA1">
        <w:trPr>
          <w:trHeight w:val="20"/>
          <w:jc w:val="center"/>
        </w:trPr>
        <w:tc>
          <w:tcPr>
            <w:tcW w:w="1554" w:type="pct"/>
            <w:shd w:val="clear" w:color="auto" w:fill="FFFFFF"/>
          </w:tcPr>
          <w:p w14:paraId="4C8257C3" w14:textId="3C33E949" w:rsidR="00E642D6" w:rsidRPr="002E4239" w:rsidRDefault="00E642D6" w:rsidP="00BA660F">
            <w:pPr>
              <w:spacing w:before="60" w:after="60"/>
              <w:ind w:right="133"/>
              <w:jc w:val="both"/>
              <w:rPr>
                <w:rFonts w:ascii="Times New Roman" w:hAnsi="Times New Roman" w:cs="Times New Roman"/>
                <w:b/>
                <w:color w:val="auto"/>
                <w:shd w:val="clear" w:color="auto" w:fill="FFFFFF"/>
                <w:lang w:val="en-US"/>
              </w:rPr>
            </w:pPr>
          </w:p>
        </w:tc>
        <w:tc>
          <w:tcPr>
            <w:tcW w:w="1484" w:type="pct"/>
            <w:shd w:val="clear" w:color="auto" w:fill="FFFFFF"/>
          </w:tcPr>
          <w:p w14:paraId="39BCE49A" w14:textId="31093934" w:rsidR="00FD3D9D" w:rsidRDefault="00FD3D9D" w:rsidP="00FD3D9D">
            <w:pPr>
              <w:spacing w:before="60" w:after="60"/>
              <w:ind w:left="127" w:right="137"/>
              <w:jc w:val="both"/>
              <w:rPr>
                <w:rFonts w:ascii="Times New Roman" w:hAnsi="Times New Roman" w:cs="Times New Roman"/>
                <w:b/>
                <w:bCs/>
                <w:color w:val="auto"/>
                <w:lang w:val="en-US"/>
              </w:rPr>
            </w:pPr>
            <w:r>
              <w:rPr>
                <w:rFonts w:ascii="Times New Roman" w:hAnsi="Times New Roman" w:cs="Times New Roman"/>
                <w:b/>
                <w:bCs/>
                <w:color w:val="auto"/>
                <w:lang w:val="en-US"/>
              </w:rPr>
              <w:t xml:space="preserve">Khoản 4 Điều 1 Quyết định số </w:t>
            </w:r>
            <w:r w:rsidRPr="0038602B">
              <w:rPr>
                <w:rFonts w:ascii="Times New Roman" w:hAnsi="Times New Roman" w:cs="Times New Roman"/>
                <w:b/>
                <w:bCs/>
                <w:color w:val="auto"/>
              </w:rPr>
              <w:t>86/2024/QĐ-UBND</w:t>
            </w:r>
            <w:r>
              <w:rPr>
                <w:rFonts w:ascii="Times New Roman" w:hAnsi="Times New Roman" w:cs="Times New Roman"/>
                <w:b/>
                <w:bCs/>
                <w:color w:val="auto"/>
                <w:lang w:val="en-US"/>
              </w:rPr>
              <w:t>:</w:t>
            </w:r>
          </w:p>
          <w:p w14:paraId="5C42D7CD" w14:textId="77777777" w:rsidR="00FD3D9D" w:rsidRPr="00FD3D9D" w:rsidRDefault="00FD3D9D" w:rsidP="00FD3D9D">
            <w:pPr>
              <w:spacing w:before="60" w:after="60"/>
              <w:ind w:left="127" w:right="137"/>
              <w:jc w:val="both"/>
              <w:rPr>
                <w:rFonts w:ascii="Times New Roman" w:hAnsi="Times New Roman" w:cs="Times New Roman"/>
                <w:bCs/>
                <w:color w:val="auto"/>
                <w:lang w:val="en-US"/>
              </w:rPr>
            </w:pPr>
            <w:r w:rsidRPr="00FD3D9D">
              <w:rPr>
                <w:rFonts w:ascii="Times New Roman" w:hAnsi="Times New Roman" w:cs="Times New Roman"/>
                <w:b/>
                <w:bCs/>
                <w:color w:val="auto"/>
                <w:lang w:val="en-US"/>
              </w:rPr>
              <w:t>“Điều 5. Phân loại đất</w:t>
            </w:r>
          </w:p>
          <w:p w14:paraId="0B5DACDE" w14:textId="77777777" w:rsidR="00FD3D9D" w:rsidRPr="00FD3D9D" w:rsidRDefault="00FD3D9D" w:rsidP="00FD3D9D">
            <w:pPr>
              <w:spacing w:before="60" w:after="60"/>
              <w:ind w:left="127" w:right="137"/>
              <w:jc w:val="both"/>
              <w:rPr>
                <w:rFonts w:ascii="Times New Roman" w:hAnsi="Times New Roman" w:cs="Times New Roman"/>
                <w:bCs/>
                <w:color w:val="auto"/>
                <w:lang w:val="en-US"/>
              </w:rPr>
            </w:pPr>
            <w:r w:rsidRPr="00FD3D9D">
              <w:rPr>
                <w:rFonts w:ascii="Times New Roman" w:hAnsi="Times New Roman" w:cs="Times New Roman"/>
                <w:bCs/>
                <w:color w:val="auto"/>
                <w:lang w:val="en-US"/>
              </w:rPr>
              <w:t>1. Căn cứ mục đích sử dụng, đất đai được phân thành 03 nhóm theo quy định tại Điều 9 Luật Đất đai năm 2024, gồm: Đất nông nghiệp, đất phi nông nghiệp và đất chưa sử dụng.</w:t>
            </w:r>
          </w:p>
          <w:p w14:paraId="23BD6883" w14:textId="77777777" w:rsidR="00FD3D9D" w:rsidRPr="00FD3D9D" w:rsidRDefault="00FD3D9D" w:rsidP="00FD3D9D">
            <w:pPr>
              <w:spacing w:before="60" w:after="60"/>
              <w:ind w:left="127" w:right="137"/>
              <w:jc w:val="both"/>
              <w:rPr>
                <w:rFonts w:ascii="Times New Roman" w:hAnsi="Times New Roman" w:cs="Times New Roman"/>
                <w:bCs/>
                <w:color w:val="auto"/>
                <w:lang w:val="en-US"/>
              </w:rPr>
            </w:pPr>
            <w:r w:rsidRPr="00FD3D9D">
              <w:rPr>
                <w:rFonts w:ascii="Times New Roman" w:hAnsi="Times New Roman" w:cs="Times New Roman"/>
                <w:bCs/>
                <w:color w:val="auto"/>
                <w:lang w:val="en-US"/>
              </w:rPr>
              <w:t>2. Việc xác định loại đất được căn cứ theo Điều 10 của Luật Đất đai năm 2024 và Điều 4, Điều 5, Điều 6 Nghị định số </w:t>
            </w:r>
            <w:hyperlink r:id="rId9" w:tgtFrame="_blank" w:tooltip="Nghị định 102/2024/NĐ-CP" w:history="1">
              <w:r w:rsidRPr="00FD3D9D">
                <w:rPr>
                  <w:rStyle w:val="Hyperlink"/>
                  <w:rFonts w:ascii="Times New Roman" w:hAnsi="Times New Roman" w:cs="Times New Roman"/>
                  <w:bCs/>
                  <w:color w:val="000000" w:themeColor="text1"/>
                  <w:u w:val="none"/>
                  <w:lang w:val="en-US"/>
                </w:rPr>
                <w:t>102/2024/NĐ-CP</w:t>
              </w:r>
            </w:hyperlink>
            <w:r w:rsidRPr="00FD3D9D">
              <w:rPr>
                <w:rFonts w:ascii="Times New Roman" w:hAnsi="Times New Roman" w:cs="Times New Roman"/>
                <w:bCs/>
                <w:color w:val="000000" w:themeColor="text1"/>
                <w:lang w:val="en-US"/>
              </w:rPr>
              <w:t> ngày</w:t>
            </w:r>
            <w:r w:rsidRPr="00FD3D9D">
              <w:rPr>
                <w:rFonts w:ascii="Times New Roman" w:hAnsi="Times New Roman" w:cs="Times New Roman"/>
                <w:bCs/>
                <w:color w:val="auto"/>
                <w:lang w:val="en-US"/>
              </w:rPr>
              <w:t xml:space="preserve"> 30 tháng 7 năm </w:t>
            </w:r>
            <w:r w:rsidRPr="00FD3D9D">
              <w:rPr>
                <w:rFonts w:ascii="Times New Roman" w:hAnsi="Times New Roman" w:cs="Times New Roman"/>
                <w:bCs/>
                <w:color w:val="auto"/>
                <w:lang w:val="en-US"/>
              </w:rPr>
              <w:lastRenderedPageBreak/>
              <w:t>2024 của Chính phủ quy định chi tiết thi hành một số điều của Luật Đất đai.”</w:t>
            </w:r>
          </w:p>
          <w:p w14:paraId="3F6DBDB7" w14:textId="456E764B" w:rsidR="00E642D6" w:rsidRPr="002E4239" w:rsidRDefault="00E642D6" w:rsidP="00917D7F">
            <w:pPr>
              <w:spacing w:before="60" w:after="60"/>
              <w:ind w:left="127" w:right="137"/>
              <w:jc w:val="both"/>
              <w:rPr>
                <w:rFonts w:ascii="Times New Roman" w:hAnsi="Times New Roman" w:cs="Times New Roman"/>
                <w:bCs/>
                <w:color w:val="auto"/>
                <w:lang w:val="en-US"/>
              </w:rPr>
            </w:pPr>
          </w:p>
        </w:tc>
        <w:tc>
          <w:tcPr>
            <w:tcW w:w="1228" w:type="pct"/>
            <w:shd w:val="clear" w:color="auto" w:fill="FFFFFF"/>
          </w:tcPr>
          <w:p w14:paraId="7D87F1EB" w14:textId="34EC5CCA" w:rsidR="00B70D19" w:rsidRPr="00B70D19" w:rsidRDefault="00B70D19" w:rsidP="00B70D19">
            <w:pPr>
              <w:spacing w:before="60" w:after="60"/>
              <w:ind w:left="127" w:right="137"/>
              <w:jc w:val="both"/>
              <w:rPr>
                <w:rFonts w:ascii="Times New Roman" w:hAnsi="Times New Roman" w:cs="Times New Roman"/>
                <w:b/>
                <w:bCs/>
                <w:color w:val="auto"/>
              </w:rPr>
            </w:pPr>
            <w:bookmarkStart w:id="1" w:name="dieu_5"/>
            <w:r w:rsidRPr="00B70D19">
              <w:rPr>
                <w:rFonts w:ascii="Times New Roman" w:hAnsi="Times New Roman" w:cs="Times New Roman"/>
                <w:b/>
                <w:bCs/>
                <w:color w:val="auto"/>
              </w:rPr>
              <w:lastRenderedPageBreak/>
              <w:t xml:space="preserve">Điều </w:t>
            </w:r>
            <w:r w:rsidR="00E34160">
              <w:rPr>
                <w:rFonts w:ascii="Times New Roman" w:hAnsi="Times New Roman" w:cs="Times New Roman"/>
                <w:b/>
                <w:bCs/>
                <w:color w:val="auto"/>
                <w:lang w:val="en-US"/>
              </w:rPr>
              <w:t>4</w:t>
            </w:r>
            <w:r w:rsidRPr="00B70D19">
              <w:rPr>
                <w:rFonts w:ascii="Times New Roman" w:hAnsi="Times New Roman" w:cs="Times New Roman"/>
                <w:b/>
                <w:bCs/>
                <w:color w:val="auto"/>
              </w:rPr>
              <w:t>. Phân loại đất</w:t>
            </w:r>
            <w:bookmarkEnd w:id="1"/>
          </w:p>
          <w:p w14:paraId="45D9E518" w14:textId="6358BB6E" w:rsidR="00E642D6" w:rsidRPr="00B70D19" w:rsidRDefault="00B70D19" w:rsidP="00B70D19">
            <w:pPr>
              <w:spacing w:before="60" w:after="60"/>
              <w:ind w:left="127" w:right="137"/>
              <w:jc w:val="both"/>
              <w:rPr>
                <w:rFonts w:ascii="Times New Roman" w:hAnsi="Times New Roman" w:cs="Times New Roman"/>
                <w:color w:val="auto"/>
                <w:lang w:val="en-US"/>
              </w:rPr>
            </w:pPr>
            <w:r w:rsidRPr="00B70D19">
              <w:rPr>
                <w:rFonts w:ascii="Times New Roman" w:hAnsi="Times New Roman" w:cs="Times New Roman"/>
                <w:color w:val="auto"/>
                <w:lang w:val="en-US"/>
              </w:rPr>
              <w:t>Căn cứ Quy định tại Điều 9 Luật Đất đai năm 2024 và Điều 4, Điều 5, Điều 6 Nghị định số 102/2024/NĐ-CP ngày 30/07/2024 của Chính phủ về Quy định chi tiết thi hành một số điều của Luật Đất Đai, phân thành 3 loại đất, gồm: Đất nông nghiệp, đất phi nông nghiệp và đất chưa sử dụng</w:t>
            </w:r>
            <w:r w:rsidRPr="00B70D19">
              <w:rPr>
                <w:rFonts w:ascii="Times New Roman" w:hAnsi="Times New Roman" w:cs="Times New Roman"/>
                <w:color w:val="auto"/>
              </w:rPr>
              <w:t>.</w:t>
            </w:r>
          </w:p>
        </w:tc>
        <w:tc>
          <w:tcPr>
            <w:tcW w:w="734" w:type="pct"/>
            <w:shd w:val="clear" w:color="auto" w:fill="FFFFFF"/>
          </w:tcPr>
          <w:p w14:paraId="53369B77" w14:textId="57AC3024" w:rsidR="00E642D6" w:rsidRPr="002E4239" w:rsidRDefault="00FD3D9D" w:rsidP="00E32218">
            <w:pPr>
              <w:spacing w:before="60" w:after="60"/>
              <w:ind w:right="41"/>
              <w:jc w:val="both"/>
              <w:rPr>
                <w:rFonts w:ascii="Times New Roman" w:hAnsi="Times New Roman" w:cs="Times New Roman"/>
                <w:bCs/>
                <w:color w:val="auto"/>
                <w:lang w:val="en-US"/>
              </w:rPr>
            </w:pPr>
            <w:r w:rsidRPr="0059548B">
              <w:rPr>
                <w:rFonts w:ascii="Times New Roman" w:hAnsi="Times New Roman" w:cs="Times New Roman"/>
                <w:bCs/>
                <w:color w:val="auto"/>
                <w:lang w:val="en-US"/>
              </w:rPr>
              <w:t xml:space="preserve">Kế thừa </w:t>
            </w:r>
            <w:r w:rsidRPr="00FD3D9D">
              <w:rPr>
                <w:rFonts w:ascii="Times New Roman" w:hAnsi="Times New Roman" w:cs="Times New Roman"/>
                <w:color w:val="auto"/>
                <w:lang w:val="en-US"/>
              </w:rPr>
              <w:t xml:space="preserve">Khoản 4 Điều 1 Quyết định số </w:t>
            </w:r>
            <w:r w:rsidRPr="00FD3D9D">
              <w:rPr>
                <w:rFonts w:ascii="Times New Roman" w:hAnsi="Times New Roman" w:cs="Times New Roman"/>
                <w:color w:val="auto"/>
              </w:rPr>
              <w:t>86/2024/QĐ-UBND</w:t>
            </w:r>
            <w:r w:rsidRPr="00FD3D9D">
              <w:rPr>
                <w:rFonts w:ascii="Times New Roman" w:hAnsi="Times New Roman" w:cs="Times New Roman"/>
                <w:bCs/>
                <w:color w:val="auto"/>
                <w:lang w:val="en-US"/>
              </w:rPr>
              <w:t xml:space="preserve"> </w:t>
            </w:r>
            <w:r w:rsidRPr="0059548B">
              <w:rPr>
                <w:rFonts w:ascii="Times New Roman" w:hAnsi="Times New Roman" w:cs="Times New Roman"/>
                <w:bCs/>
                <w:color w:val="auto"/>
                <w:lang w:val="en-US"/>
              </w:rPr>
              <w:t xml:space="preserve">ngày </w:t>
            </w:r>
            <w:r>
              <w:rPr>
                <w:rFonts w:ascii="Times New Roman" w:hAnsi="Times New Roman" w:cs="Times New Roman"/>
                <w:bCs/>
                <w:color w:val="auto"/>
                <w:lang w:val="en-US"/>
              </w:rPr>
              <w:t>27</w:t>
            </w:r>
            <w:r w:rsidRPr="0059548B">
              <w:rPr>
                <w:rFonts w:ascii="Times New Roman" w:hAnsi="Times New Roman" w:cs="Times New Roman"/>
                <w:bCs/>
                <w:color w:val="auto"/>
                <w:lang w:val="en-US"/>
              </w:rPr>
              <w:t xml:space="preserve"> tháng 12 năm 202</w:t>
            </w:r>
            <w:r>
              <w:rPr>
                <w:rFonts w:ascii="Times New Roman" w:hAnsi="Times New Roman" w:cs="Times New Roman"/>
                <w:bCs/>
                <w:color w:val="auto"/>
                <w:lang w:val="en-US"/>
              </w:rPr>
              <w:t>4</w:t>
            </w:r>
            <w:r w:rsidRPr="0059548B">
              <w:rPr>
                <w:rFonts w:ascii="Times New Roman" w:hAnsi="Times New Roman" w:cs="Times New Roman"/>
                <w:bCs/>
                <w:color w:val="auto"/>
                <w:lang w:val="en-US"/>
              </w:rPr>
              <w:t xml:space="preserve"> của UBND tỉnh Đồng Nai (cũ)</w:t>
            </w:r>
            <w:r>
              <w:rPr>
                <w:rFonts w:ascii="Times New Roman" w:hAnsi="Times New Roman" w:cs="Times New Roman"/>
                <w:bCs/>
                <w:color w:val="auto"/>
                <w:lang w:val="en-US"/>
              </w:rPr>
              <w:t>.</w:t>
            </w:r>
          </w:p>
        </w:tc>
      </w:tr>
      <w:tr w:rsidR="00E642D6" w:rsidRPr="002E4239" w14:paraId="14689CD0" w14:textId="77777777" w:rsidTr="00A85FA1">
        <w:trPr>
          <w:trHeight w:val="20"/>
          <w:jc w:val="center"/>
        </w:trPr>
        <w:tc>
          <w:tcPr>
            <w:tcW w:w="1554" w:type="pct"/>
            <w:shd w:val="clear" w:color="auto" w:fill="FFFFFF"/>
          </w:tcPr>
          <w:p w14:paraId="4A8CCDD8" w14:textId="2284D54D" w:rsidR="003048CC" w:rsidRDefault="003048CC" w:rsidP="003048CC">
            <w:pPr>
              <w:spacing w:before="60" w:after="60"/>
              <w:ind w:right="133"/>
              <w:jc w:val="both"/>
              <w:rPr>
                <w:rFonts w:ascii="Times New Roman" w:hAnsi="Times New Roman" w:cs="Times New Roman"/>
                <w:b/>
                <w:color w:val="auto"/>
                <w:lang w:val="en-US"/>
              </w:rPr>
            </w:pPr>
            <w:r w:rsidRPr="0059548B">
              <w:rPr>
                <w:rFonts w:ascii="Times New Roman" w:hAnsi="Times New Roman" w:cs="Times New Roman"/>
                <w:b/>
                <w:color w:val="auto"/>
                <w:lang w:val="en-US"/>
              </w:rPr>
              <w:lastRenderedPageBreak/>
              <w:t xml:space="preserve">Khoản </w:t>
            </w:r>
            <w:r>
              <w:rPr>
                <w:rFonts w:ascii="Times New Roman" w:hAnsi="Times New Roman" w:cs="Times New Roman"/>
                <w:b/>
                <w:color w:val="auto"/>
                <w:lang w:val="en-US"/>
              </w:rPr>
              <w:t>6</w:t>
            </w:r>
            <w:r w:rsidRPr="0059548B">
              <w:rPr>
                <w:rFonts w:ascii="Times New Roman" w:hAnsi="Times New Roman" w:cs="Times New Roman"/>
                <w:b/>
                <w:color w:val="auto"/>
                <w:lang w:val="en-US"/>
              </w:rPr>
              <w:t xml:space="preserve"> Điều 1 Quyết định số </w:t>
            </w:r>
            <w:r w:rsidRPr="0059548B">
              <w:rPr>
                <w:rFonts w:ascii="Times New Roman" w:hAnsi="Times New Roman" w:cs="Times New Roman"/>
                <w:b/>
                <w:color w:val="auto"/>
              </w:rPr>
              <w:t>52/2024/QĐ-UBND</w:t>
            </w:r>
            <w:r w:rsidRPr="0059548B">
              <w:rPr>
                <w:rFonts w:ascii="Times New Roman" w:hAnsi="Times New Roman" w:cs="Times New Roman"/>
                <w:b/>
                <w:color w:val="auto"/>
                <w:lang w:val="en-US"/>
              </w:rPr>
              <w:t xml:space="preserve"> ngày 27/12/2024 của UBND tỉnh Bình Phước (cũ):</w:t>
            </w:r>
          </w:p>
          <w:p w14:paraId="1A8B40B3"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1. Đối với đất trồng cây lâu năm, đất trồng cây hàng năm, đất chăn nuôi tập trung, đất nông nghiệp khác</w:t>
            </w:r>
          </w:p>
          <w:p w14:paraId="6B3DDB42"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a) Vị trí đất:</w:t>
            </w:r>
          </w:p>
          <w:p w14:paraId="3F1150B6"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Vị trí 1: Thửa đất có mặt tiền tiếp giáp đường quốc lộ (đường giao thông do Trung ương quản lý), đường tỉnh (đường giao thông do cấp tỉnh quản lý);</w:t>
            </w:r>
          </w:p>
          <w:p w14:paraId="165238F3"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Vị trí 2: Thửa đất có mặt tiền tiếp giáp đường huyện (các đường giao thông do cấp huyện quản lý), các tuyến đường giao thông có HLBVĐB từ tr</w:t>
            </w:r>
            <w:r w:rsidRPr="001C02F2">
              <w:rPr>
                <w:rFonts w:ascii="Times New Roman" w:hAnsi="Times New Roman" w:cs="Times New Roman"/>
                <w:bCs/>
                <w:color w:val="auto"/>
                <w:lang w:val="en-US"/>
              </w:rPr>
              <w:t>ên 10m (trừ các đường giao thông thuộc vị trí 1);</w:t>
            </w:r>
          </w:p>
          <w:p w14:paraId="6B5F8C28"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lang w:val="en-US"/>
              </w:rPr>
              <w:t>- Vị trí 3: Thửa đất có mặt tiền tiếp giáp các đường giao thông còn lại;</w:t>
            </w:r>
          </w:p>
          <w:p w14:paraId="4B90B81E"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lang w:val="en-US"/>
              </w:rPr>
              <w:t>- Vị trí 4: Thửa đất không tiếp giáp đường giao thông.</w:t>
            </w:r>
          </w:p>
          <w:p w14:paraId="09F42BCC"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lang w:val="en-US"/>
              </w:rPr>
              <w:t>b) Phạm vi đất:</w:t>
            </w:r>
          </w:p>
          <w:p w14:paraId="7740DCDD"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lastRenderedPageBreak/>
              <w:t>Đối với thửa đất thuộc vị trí 1, vị trí 2 và vị trí 3 quy định tại điểm a khoản này, phạm vi đất được xác định theo 03 phạm vi tính từ mép ngoài HLBVĐB đối với các đường giao thông đã có quy định HLBVĐB (hoặc tính từ mép đường đối với các đường giao thông chưa có HLBVĐB), cụ thể như sau:</w:t>
            </w:r>
          </w:p>
          <w:p w14:paraId="0E660D7D"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Phạm vi 1: 200m đầu;</w:t>
            </w:r>
          </w:p>
          <w:p w14:paraId="7C2029FB"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Phạm vi 2: Từ trên 200m đến 500m;</w:t>
            </w:r>
          </w:p>
          <w:p w14:paraId="78F77D83"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 Phạm vi 3: Từ trên 500m.</w:t>
            </w:r>
          </w:p>
          <w:p w14:paraId="49970A31"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Đối với thửa đất thuộc vị trí 4 quy định tại điểm a khoản này không xác định phạm vi đất.</w:t>
            </w:r>
          </w:p>
          <w:p w14:paraId="426EE087" w14:textId="77777777" w:rsidR="001C02F2" w:rsidRPr="001C02F2" w:rsidRDefault="001C02F2" w:rsidP="001C02F2">
            <w:pPr>
              <w:spacing w:before="60" w:after="60"/>
              <w:ind w:right="133"/>
              <w:jc w:val="both"/>
              <w:rPr>
                <w:rFonts w:ascii="Times New Roman" w:hAnsi="Times New Roman" w:cs="Times New Roman"/>
                <w:bCs/>
                <w:color w:val="auto"/>
                <w:lang w:val="en-US"/>
              </w:rPr>
            </w:pPr>
            <w:r w:rsidRPr="001C02F2">
              <w:rPr>
                <w:rFonts w:ascii="Times New Roman" w:hAnsi="Times New Roman" w:cs="Times New Roman"/>
                <w:bCs/>
                <w:color w:val="auto"/>
              </w:rPr>
              <w:t>2. Đối với đất rừng sản xuất, đất rừng phòng hộ, đất rừng đặc dụng, đất nuôi trồng thủy sản được phân thành 01 vị trí và không xác định phạm vi đất.”</w:t>
            </w:r>
          </w:p>
          <w:p w14:paraId="757AC252" w14:textId="77777777" w:rsidR="001C02F2" w:rsidRDefault="001C02F2" w:rsidP="003048CC">
            <w:pPr>
              <w:spacing w:before="60" w:after="60"/>
              <w:ind w:right="133"/>
              <w:jc w:val="both"/>
              <w:rPr>
                <w:rFonts w:ascii="Times New Roman" w:hAnsi="Times New Roman" w:cs="Times New Roman"/>
                <w:b/>
                <w:color w:val="auto"/>
                <w:lang w:val="en-US"/>
              </w:rPr>
            </w:pPr>
          </w:p>
          <w:p w14:paraId="4F77DEF5" w14:textId="3C775F38" w:rsidR="00E642D6" w:rsidRPr="002E4239" w:rsidRDefault="00E642D6" w:rsidP="00BA660F">
            <w:pPr>
              <w:spacing w:before="60" w:after="60"/>
              <w:ind w:right="133"/>
              <w:jc w:val="both"/>
              <w:rPr>
                <w:rFonts w:ascii="Times New Roman" w:hAnsi="Times New Roman" w:cs="Times New Roman"/>
                <w:color w:val="auto"/>
                <w:shd w:val="clear" w:color="auto" w:fill="FFFFFF"/>
                <w:lang w:val="en-US"/>
              </w:rPr>
            </w:pPr>
          </w:p>
        </w:tc>
        <w:tc>
          <w:tcPr>
            <w:tcW w:w="1484" w:type="pct"/>
            <w:shd w:val="clear" w:color="auto" w:fill="FFFFFF"/>
          </w:tcPr>
          <w:p w14:paraId="7486C641" w14:textId="0F3CD330" w:rsidR="00FD3D9D" w:rsidRDefault="00FD3D9D" w:rsidP="00FD3D9D">
            <w:pPr>
              <w:spacing w:before="60" w:after="60"/>
              <w:ind w:right="137"/>
              <w:jc w:val="both"/>
              <w:rPr>
                <w:rFonts w:ascii="Times New Roman" w:hAnsi="Times New Roman" w:cs="Times New Roman"/>
                <w:b/>
                <w:bCs/>
                <w:color w:val="auto"/>
                <w:lang w:val="en-US"/>
              </w:rPr>
            </w:pPr>
            <w:r>
              <w:rPr>
                <w:rFonts w:ascii="Times New Roman" w:hAnsi="Times New Roman" w:cs="Times New Roman"/>
                <w:b/>
                <w:bCs/>
                <w:color w:val="auto"/>
                <w:lang w:val="en-US"/>
              </w:rPr>
              <w:lastRenderedPageBreak/>
              <w:t xml:space="preserve">Điều </w:t>
            </w:r>
            <w:r w:rsidR="00B56C2D">
              <w:rPr>
                <w:rFonts w:ascii="Times New Roman" w:hAnsi="Times New Roman" w:cs="Times New Roman"/>
                <w:b/>
                <w:bCs/>
                <w:color w:val="auto"/>
                <w:lang w:val="en-US"/>
              </w:rPr>
              <w:t>6</w:t>
            </w:r>
            <w:r>
              <w:rPr>
                <w:rFonts w:ascii="Times New Roman" w:hAnsi="Times New Roman" w:cs="Times New Roman"/>
                <w:b/>
                <w:bCs/>
                <w:color w:val="auto"/>
                <w:lang w:val="en-US"/>
              </w:rPr>
              <w:t xml:space="preserve"> Quyết định số </w:t>
            </w:r>
            <w:r w:rsidRPr="00A85FA1">
              <w:rPr>
                <w:rFonts w:ascii="Times New Roman" w:hAnsi="Times New Roman" w:cs="Times New Roman"/>
                <w:b/>
                <w:bCs/>
                <w:color w:val="auto"/>
              </w:rPr>
              <w:t>56/2022/QĐ-UBND</w:t>
            </w:r>
            <w:r>
              <w:rPr>
                <w:rFonts w:ascii="Times New Roman" w:hAnsi="Times New Roman" w:cs="Times New Roman"/>
                <w:b/>
                <w:bCs/>
                <w:color w:val="auto"/>
                <w:lang w:val="en-US"/>
              </w:rPr>
              <w:t>:</w:t>
            </w:r>
          </w:p>
          <w:p w14:paraId="442259BB" w14:textId="00FC9257" w:rsidR="00FD3D9D" w:rsidRPr="00FD3D9D" w:rsidRDefault="00FD3D9D" w:rsidP="00FD3D9D">
            <w:pPr>
              <w:spacing w:before="60" w:after="60"/>
              <w:ind w:left="127" w:right="137"/>
              <w:jc w:val="both"/>
              <w:rPr>
                <w:rFonts w:ascii="Times New Roman" w:hAnsi="Times New Roman" w:cs="Times New Roman"/>
                <w:b/>
                <w:bCs/>
                <w:color w:val="auto"/>
                <w:lang w:val="en-US"/>
              </w:rPr>
            </w:pPr>
            <w:r w:rsidRPr="00FD3D9D">
              <w:rPr>
                <w:rFonts w:ascii="Times New Roman" w:hAnsi="Times New Roman" w:cs="Times New Roman"/>
                <w:b/>
                <w:bCs/>
                <w:color w:val="auto"/>
              </w:rPr>
              <w:t>Điều 6. Phân vị trí đất nông nghiệp</w:t>
            </w:r>
          </w:p>
          <w:p w14:paraId="74D946FA"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1. Tại đô thị</w:t>
            </w:r>
          </w:p>
          <w:p w14:paraId="4E84E22D"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Đất nông nghiệp tại đô thị phân thành 4 cấp vị trí. Nguyên tắc xác định vị trí tương tự như đất phi nông nghiệp tại đô thị quy định tại khoản 1 Điều 7 của quy định này.</w:t>
            </w:r>
          </w:p>
          <w:p w14:paraId="5AE5ADD7"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2. Tại nông thôn</w:t>
            </w:r>
          </w:p>
          <w:p w14:paraId="384AF49C" w14:textId="77777777" w:rsidR="00FD3D9D" w:rsidRPr="00FD3D9D" w:rsidRDefault="00FD3D9D" w:rsidP="00FD3D9D">
            <w:pPr>
              <w:spacing w:before="60" w:after="60"/>
              <w:ind w:left="127" w:right="137"/>
              <w:jc w:val="both"/>
              <w:rPr>
                <w:rFonts w:ascii="Times New Roman" w:hAnsi="Times New Roman" w:cs="Times New Roman"/>
                <w:color w:val="auto"/>
                <w:lang w:val="en-US"/>
              </w:rPr>
            </w:pPr>
            <w:r w:rsidRPr="00FD3D9D">
              <w:rPr>
                <w:rFonts w:ascii="Times New Roman" w:hAnsi="Times New Roman" w:cs="Times New Roman"/>
                <w:color w:val="auto"/>
              </w:rPr>
              <w:t>Đất nông nghiệp tại nông thôn phân thành 4 cấp vị trí. Nguyên tắc xác định vị trí tương tự như đất phi nông nghiệp tại nông thôn quy định tại khoản 2 Điều 7 của quy định này.</w:t>
            </w:r>
          </w:p>
          <w:p w14:paraId="4A7FC5E1" w14:textId="3FA36EF2" w:rsidR="00E642D6" w:rsidRPr="00B56C2D" w:rsidRDefault="00B56C2D" w:rsidP="00E93B50">
            <w:pPr>
              <w:spacing w:before="60" w:after="60"/>
              <w:ind w:right="137"/>
              <w:jc w:val="both"/>
              <w:rPr>
                <w:rFonts w:ascii="Times New Roman" w:hAnsi="Times New Roman" w:cs="Times New Roman"/>
                <w:b/>
                <w:color w:val="auto"/>
                <w:lang w:val="en-US"/>
              </w:rPr>
            </w:pPr>
            <w:r w:rsidRPr="00B56C2D">
              <w:rPr>
                <w:rFonts w:ascii="Times New Roman" w:hAnsi="Times New Roman" w:cs="Times New Roman"/>
                <w:b/>
                <w:color w:val="auto"/>
                <w:lang w:val="en-US"/>
              </w:rPr>
              <w:t xml:space="preserve">Khoản 4 Khoản 5 Điều 7 Quyết định số </w:t>
            </w:r>
            <w:r w:rsidRPr="00B56C2D">
              <w:rPr>
                <w:rFonts w:ascii="Times New Roman" w:hAnsi="Times New Roman" w:cs="Times New Roman"/>
                <w:b/>
                <w:color w:val="auto"/>
              </w:rPr>
              <w:t>56/2022/QĐ-UBND</w:t>
            </w:r>
            <w:r>
              <w:rPr>
                <w:rFonts w:ascii="Times New Roman" w:hAnsi="Times New Roman" w:cs="Times New Roman"/>
                <w:b/>
                <w:color w:val="auto"/>
                <w:lang w:val="en-US"/>
              </w:rPr>
              <w:t xml:space="preserve"> về phạm vi đất:</w:t>
            </w:r>
          </w:p>
          <w:p w14:paraId="3ED04322"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4. Thửa đất tại vị trí 1 theo quy định tại khoản 1, khoản 2 Điều 6 và khoản 1, khoản 2 Điều này (trừ đất khu công nghiệp, cụm công nghiệp, đất tại các đảo, cù lao) nếu có chiều sâu tính từ mốc lộ giới &gt;5</w:t>
            </w:r>
            <w:r w:rsidRPr="00B56C2D">
              <w:rPr>
                <w:rFonts w:ascii="Times New Roman" w:hAnsi="Times New Roman" w:cs="Times New Roman"/>
                <w:bCs/>
                <w:color w:val="auto"/>
                <w:lang w:val="en-US"/>
              </w:rPr>
              <w:t>0</w:t>
            </w:r>
            <w:r w:rsidRPr="00B56C2D">
              <w:rPr>
                <w:rFonts w:ascii="Times New Roman" w:hAnsi="Times New Roman" w:cs="Times New Roman"/>
                <w:bCs/>
                <w:color w:val="auto"/>
              </w:rPr>
              <w:t>m được tính theo quy định sau:</w:t>
            </w:r>
          </w:p>
          <w:p w14:paraId="56AC4A9D"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 xml:space="preserve">a) Từ mốc lộ giới đến hết mét thứ 50: Tính </w:t>
            </w:r>
            <w:r w:rsidRPr="00B56C2D">
              <w:rPr>
                <w:rFonts w:ascii="Times New Roman" w:hAnsi="Times New Roman" w:cs="Times New Roman"/>
                <w:bCs/>
                <w:color w:val="auto"/>
              </w:rPr>
              <w:lastRenderedPageBreak/>
              <w:t>bằng 100% giá đất vị trí 1 của đường đó.</w:t>
            </w:r>
          </w:p>
          <w:p w14:paraId="2AB74C04"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b) Từ sau mét thứ 50 đến hết mét thứ 100: Tính bằng 80% giá đất vị trí 1 của đường đó.</w:t>
            </w:r>
          </w:p>
          <w:p w14:paraId="54EC0D45"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c) Từ sau mét thứ 100 đến hết chiều sâu thửa đất: Tính bằng 50% giá đất vị trí 1 của đường đó.</w:t>
            </w:r>
          </w:p>
          <w:p w14:paraId="7EC5E568"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d) Trường hợp thửa đất tại vị trí 1 sau khi xác định theo quy định tại điểm b, điểm c khoản này mà có mức giá đất thấp hơn mức giá đất tại vị trí 4 cùng loại đất, cùng đoạn đường, tuyến đường thì áp dụng bằng mức giá đất tại vị trí 4 của cùng loại đất, cùng đoạn đường, tuyến đường đó.</w:t>
            </w:r>
          </w:p>
          <w:p w14:paraId="08FEC2B7"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Đối với các thửa đất, khu đất được giao, cho thuê hoặc đấu giá quyền sử dụng đất để thực hiện dự án, công trình mà ranh thửa đất, khu đất không trùng với lộ giới giao thông thì việc xác định chiều sâu của thửa đất, khu đất quy định tại khoản 4 Điều này được tính từ mốc lộ giới.</w:t>
            </w:r>
          </w:p>
          <w:p w14:paraId="3080AABE"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5. Trường hợp thửa đất có một phần hoặc toàn bộ diện tích nằm trong khoảng từ lề đường đến mốc lộ giới, khi cần định giá thì được xác định cùng vị trí với thửa đất mặt tiền của tuyến đường đó.</w:t>
            </w:r>
          </w:p>
          <w:p w14:paraId="532300B5"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lastRenderedPageBreak/>
              <w:t>Trường hợp tuyến đường không có quy định giới hạn hành lang an toàn giao thông (mốc lộ giới), thì chiều sâu của thửa đất theo quy định tại khoản 4 Điều này được tính từ ranh của thửa đất.</w:t>
            </w:r>
          </w:p>
          <w:p w14:paraId="00DEF6C0" w14:textId="77777777" w:rsidR="00B56C2D" w:rsidRPr="00B56C2D" w:rsidRDefault="00B56C2D" w:rsidP="00B56C2D">
            <w:pPr>
              <w:spacing w:before="60" w:after="60"/>
              <w:ind w:left="127" w:right="137"/>
              <w:jc w:val="both"/>
              <w:rPr>
                <w:rFonts w:ascii="Times New Roman" w:hAnsi="Times New Roman" w:cs="Times New Roman"/>
                <w:bCs/>
                <w:color w:val="auto"/>
                <w:lang w:val="en-US"/>
              </w:rPr>
            </w:pPr>
            <w:r w:rsidRPr="00B56C2D">
              <w:rPr>
                <w:rFonts w:ascii="Times New Roman" w:hAnsi="Times New Roman" w:cs="Times New Roman"/>
                <w:bCs/>
                <w:color w:val="auto"/>
              </w:rPr>
              <w:t>Trường hợp tuyến đường mới được nâng cấp, mở rộng theo hình thức xã hội hóa mà chưa thực hiện thủ tục thu hồi đất và chỉnh lý hồ sơ địa chính thì chiều sâu của thửa đất được xác định từ lộ giới theo thiết kế (đối với trường hợp đường có lộ giới) hoặc xác định từ mép đường đã thi công thực tế (đối với trường hợp đường không có lộ giới).</w:t>
            </w:r>
          </w:p>
          <w:p w14:paraId="44B14F92" w14:textId="389010A7" w:rsidR="00B56C2D" w:rsidRPr="00B56C2D" w:rsidRDefault="00B56C2D" w:rsidP="00917D7F">
            <w:pPr>
              <w:spacing w:before="60" w:after="60"/>
              <w:ind w:left="127" w:right="137"/>
              <w:jc w:val="both"/>
              <w:rPr>
                <w:rFonts w:ascii="Times New Roman" w:hAnsi="Times New Roman" w:cs="Times New Roman"/>
                <w:b/>
                <w:color w:val="auto"/>
                <w:lang w:val="en-US"/>
              </w:rPr>
            </w:pPr>
          </w:p>
        </w:tc>
        <w:tc>
          <w:tcPr>
            <w:tcW w:w="1228" w:type="pct"/>
            <w:shd w:val="clear" w:color="auto" w:fill="FFFFFF"/>
          </w:tcPr>
          <w:p w14:paraId="47493E90" w14:textId="77777777" w:rsidR="00361492" w:rsidRPr="00361492" w:rsidRDefault="00FD3D9D" w:rsidP="00361492">
            <w:pPr>
              <w:spacing w:after="120"/>
              <w:ind w:firstLine="567"/>
              <w:jc w:val="both"/>
              <w:rPr>
                <w:rFonts w:ascii="Times New Roman" w:hAnsi="Times New Roman" w:cs="Times New Roman"/>
                <w:szCs w:val="28"/>
              </w:rPr>
            </w:pPr>
            <w:bookmarkStart w:id="2" w:name="dieu_6"/>
            <w:r w:rsidRPr="00361492">
              <w:rPr>
                <w:rFonts w:ascii="Times New Roman" w:hAnsi="Times New Roman" w:cs="Times New Roman"/>
                <w:b/>
                <w:bCs/>
                <w:color w:val="auto"/>
              </w:rPr>
              <w:lastRenderedPageBreak/>
              <w:t xml:space="preserve">Điều </w:t>
            </w:r>
            <w:r w:rsidR="00E34160" w:rsidRPr="00361492">
              <w:rPr>
                <w:rFonts w:ascii="Times New Roman" w:hAnsi="Times New Roman" w:cs="Times New Roman"/>
                <w:b/>
                <w:bCs/>
                <w:color w:val="auto"/>
                <w:lang w:val="en-US"/>
              </w:rPr>
              <w:t>5</w:t>
            </w:r>
            <w:r w:rsidRPr="00361492">
              <w:rPr>
                <w:rFonts w:ascii="Times New Roman" w:hAnsi="Times New Roman" w:cs="Times New Roman"/>
                <w:b/>
                <w:bCs/>
                <w:color w:val="auto"/>
              </w:rPr>
              <w:t xml:space="preserve">. </w:t>
            </w:r>
            <w:r w:rsidR="00361492" w:rsidRPr="00361492">
              <w:rPr>
                <w:rFonts w:ascii="Times New Roman" w:hAnsi="Times New Roman" w:cs="Times New Roman"/>
                <w:b/>
                <w:bCs/>
                <w:szCs w:val="28"/>
              </w:rPr>
              <w:t>Tiêu chí xác định vị trí, phạm vi đất nông nghiệp</w:t>
            </w:r>
          </w:p>
          <w:p w14:paraId="5FF1FE31"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1. Vị trí đất</w:t>
            </w:r>
          </w:p>
          <w:p w14:paraId="61B17C82"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Đất nông nghiệp được phân thành 02 vị trí như sau:</w:t>
            </w:r>
          </w:p>
          <w:p w14:paraId="710277D7"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a) Vị trí 1 (Vị trí mặt tiền đường giao thông): Thửa đất có mặt tiền tiếp giáp các đường phố, đường giao thông chính quy định trong Bảng giá đất đối với đất ở.</w:t>
            </w:r>
          </w:p>
          <w:p w14:paraId="06BC7389"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b) Vị trí 2 (Vị trí còn lại): Thửa đất không tiếp giáp đường phố, đường giao thông chính.</w:t>
            </w:r>
          </w:p>
          <w:p w14:paraId="06A90F23"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2. Phạm vi đất</w:t>
            </w:r>
          </w:p>
          <w:p w14:paraId="1EB66651"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Đối với thửa đất nông nghiệp thuộc vị trí 1 được xác định theo 03 phạm vi tính từ HLATĐB, cụ thể như sau:</w:t>
            </w:r>
          </w:p>
          <w:p w14:paraId="567FF888"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 xml:space="preserve">a) Phạm vi 1 (Từ mốc HLATĐB </w:t>
            </w:r>
            <w:r w:rsidRPr="00361492">
              <w:rPr>
                <w:rFonts w:ascii="Times New Roman" w:hAnsi="Times New Roman" w:cs="Times New Roman"/>
                <w:szCs w:val="28"/>
              </w:rPr>
              <w:lastRenderedPageBreak/>
              <w:t>đến hết mét thứ 100): Tính bằng 100% giá đất nông nghiệp vị trí 1;</w:t>
            </w:r>
          </w:p>
          <w:p w14:paraId="066E61B6"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b) Phạm vi 2 (Từ trên 100 mét đến mét thứ 200): Tính bằng 80% giá đất nông nghiệp vị trí 1;</w:t>
            </w:r>
          </w:p>
          <w:p w14:paraId="53A73099"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c) Phạm vi 3 (Từ trên 200 mét): Tính bằng 50% giá đất nông nghiệp vị trí 1.</w:t>
            </w:r>
          </w:p>
          <w:p w14:paraId="5000413C" w14:textId="77777777" w:rsidR="00361492" w:rsidRPr="00361492" w:rsidRDefault="00361492" w:rsidP="00361492">
            <w:pPr>
              <w:spacing w:after="120"/>
              <w:ind w:firstLine="567"/>
              <w:jc w:val="both"/>
              <w:rPr>
                <w:rFonts w:ascii="Times New Roman" w:hAnsi="Times New Roman" w:cs="Times New Roman"/>
                <w:szCs w:val="28"/>
              </w:rPr>
            </w:pPr>
            <w:r w:rsidRPr="00361492">
              <w:rPr>
                <w:rFonts w:ascii="Times New Roman" w:hAnsi="Times New Roman" w:cs="Times New Roman"/>
                <w:szCs w:val="28"/>
              </w:rPr>
              <w:t>3. Trường hợp thửa đất có một phần hoặc toàn bộ diện tích nằm trong khoảng từ mép đường đến mốc HLATĐB, nếu đủ điều kiện để bồi thường, hoặc thực hiện nghĩa vụ tài chính theo quy định của pháp luật thì phần diện tích nằm trong khoảng từ mép đường đến HLATĐB được xác định cùng vị trí với thửa đất mặt tiền của tuyến đường đó.</w:t>
            </w:r>
          </w:p>
          <w:p w14:paraId="64629462" w14:textId="138C78B0" w:rsidR="00E642D6" w:rsidRPr="00361492" w:rsidRDefault="00361492" w:rsidP="00361492">
            <w:pPr>
              <w:spacing w:before="60" w:after="60"/>
              <w:ind w:right="137"/>
              <w:jc w:val="both"/>
              <w:rPr>
                <w:rFonts w:ascii="Times New Roman" w:hAnsi="Times New Roman" w:cs="Times New Roman"/>
                <w:b/>
                <w:bCs/>
                <w:color w:val="auto"/>
              </w:rPr>
            </w:pPr>
            <w:r w:rsidRPr="00361492">
              <w:rPr>
                <w:rFonts w:ascii="Times New Roman" w:hAnsi="Times New Roman" w:cs="Times New Roman"/>
                <w:szCs w:val="28"/>
              </w:rPr>
              <w:t>Trường hợp các tuyến đường giao thông không có quy định HLATĐB thì lấy theo mép đường hiện hữu.</w:t>
            </w:r>
            <w:bookmarkEnd w:id="2"/>
          </w:p>
        </w:tc>
        <w:tc>
          <w:tcPr>
            <w:tcW w:w="734" w:type="pct"/>
            <w:shd w:val="clear" w:color="auto" w:fill="FFFFFF"/>
          </w:tcPr>
          <w:p w14:paraId="242BFA59" w14:textId="07F9C141" w:rsidR="00E642D6" w:rsidRDefault="00E93B50" w:rsidP="00E32218">
            <w:pPr>
              <w:spacing w:before="60" w:after="60"/>
              <w:ind w:right="41"/>
              <w:jc w:val="both"/>
              <w:rPr>
                <w:rFonts w:ascii="Times New Roman" w:hAnsi="Times New Roman" w:cs="Times New Roman"/>
                <w:bCs/>
                <w:color w:val="auto"/>
                <w:lang w:val="en-US"/>
              </w:rPr>
            </w:pPr>
            <w:r w:rsidRPr="00FD3D9D">
              <w:rPr>
                <w:rFonts w:ascii="Times New Roman" w:hAnsi="Times New Roman" w:cs="Times New Roman"/>
                <w:b/>
                <w:bCs/>
                <w:color w:val="auto"/>
              </w:rPr>
              <w:lastRenderedPageBreak/>
              <w:t>Phân vị trí đất nông nghiệp</w:t>
            </w:r>
            <w:r>
              <w:rPr>
                <w:rFonts w:ascii="Times New Roman" w:hAnsi="Times New Roman" w:cs="Times New Roman"/>
                <w:b/>
                <w:bCs/>
                <w:color w:val="auto"/>
                <w:lang w:val="en-US"/>
              </w:rPr>
              <w:t xml:space="preserve">: </w:t>
            </w:r>
            <w:r w:rsidRPr="0059548B">
              <w:rPr>
                <w:rFonts w:ascii="Times New Roman" w:hAnsi="Times New Roman" w:cs="Times New Roman"/>
                <w:bCs/>
                <w:color w:val="auto"/>
                <w:lang w:val="en-US"/>
              </w:rPr>
              <w:t xml:space="preserve">Kế thừa </w:t>
            </w:r>
            <w:r>
              <w:rPr>
                <w:rFonts w:ascii="Times New Roman" w:hAnsi="Times New Roman" w:cs="Times New Roman"/>
                <w:bCs/>
                <w:color w:val="auto"/>
                <w:lang w:val="en-US"/>
              </w:rPr>
              <w:t>Điều 6</w:t>
            </w:r>
            <w:r w:rsidRPr="0059548B">
              <w:rPr>
                <w:rFonts w:ascii="Times New Roman" w:hAnsi="Times New Roman" w:cs="Times New Roman"/>
                <w:bCs/>
                <w:color w:val="auto"/>
                <w:lang w:val="en-US"/>
              </w:rPr>
              <w:t xml:space="preserve"> của Quyết định số </w:t>
            </w:r>
            <w:r w:rsidRPr="0059548B">
              <w:rPr>
                <w:rFonts w:ascii="Times New Roman" w:hAnsi="Times New Roman" w:cs="Times New Roman"/>
                <w:bCs/>
                <w:color w:val="auto"/>
              </w:rPr>
              <w:t>56/2022/QĐ-UBND</w:t>
            </w:r>
            <w:r w:rsidRPr="0059548B">
              <w:rPr>
                <w:rFonts w:ascii="Times New Roman" w:hAnsi="Times New Roman" w:cs="Times New Roman"/>
                <w:bCs/>
                <w:color w:val="auto"/>
                <w:lang w:val="en-US"/>
              </w:rPr>
              <w:t xml:space="preserve"> ngày 19 tháng 12 năm 2022 của UBND tỉnh Đồng Nai (cũ)</w:t>
            </w:r>
            <w:r>
              <w:rPr>
                <w:rFonts w:ascii="Times New Roman" w:hAnsi="Times New Roman" w:cs="Times New Roman"/>
                <w:bCs/>
                <w:color w:val="auto"/>
                <w:lang w:val="en-US"/>
              </w:rPr>
              <w:t>.</w:t>
            </w:r>
          </w:p>
          <w:p w14:paraId="34E370BC" w14:textId="410542FF" w:rsidR="00E93B50" w:rsidRPr="00E93B50" w:rsidRDefault="00E93B50" w:rsidP="00E32218">
            <w:pPr>
              <w:spacing w:before="60" w:after="60"/>
              <w:ind w:right="41"/>
              <w:jc w:val="both"/>
              <w:rPr>
                <w:rFonts w:ascii="Times New Roman" w:hAnsi="Times New Roman" w:cs="Times New Roman"/>
                <w:bCs/>
                <w:color w:val="auto"/>
                <w:lang w:val="en-US"/>
              </w:rPr>
            </w:pPr>
            <w:r w:rsidRPr="00E93B50">
              <w:rPr>
                <w:rFonts w:ascii="Times New Roman" w:hAnsi="Times New Roman" w:cs="Times New Roman"/>
                <w:b/>
                <w:color w:val="auto"/>
                <w:lang w:val="en-US"/>
              </w:rPr>
              <w:t>Về phạm vi đất:</w:t>
            </w:r>
            <w:r w:rsidRPr="00E93B50">
              <w:rPr>
                <w:rFonts w:ascii="Times New Roman" w:hAnsi="Times New Roman" w:cs="Times New Roman"/>
                <w:bCs/>
                <w:color w:val="auto"/>
                <w:lang w:val="en-US"/>
              </w:rPr>
              <w:t xml:space="preserve"> Đề xuất lấy khoản</w:t>
            </w:r>
            <w:r w:rsidR="00331C4E">
              <w:rPr>
                <w:rFonts w:ascii="Times New Roman" w:hAnsi="Times New Roman" w:cs="Times New Roman"/>
                <w:bCs/>
                <w:color w:val="auto"/>
                <w:lang w:val="en-US"/>
              </w:rPr>
              <w:t>g</w:t>
            </w:r>
            <w:r w:rsidRPr="00E93B50">
              <w:rPr>
                <w:rFonts w:ascii="Times New Roman" w:hAnsi="Times New Roman" w:cs="Times New Roman"/>
                <w:bCs/>
                <w:color w:val="auto"/>
                <w:lang w:val="en-US"/>
              </w:rPr>
              <w:t xml:space="preserve"> giữa tại Phạm vi 1,2,3 của  Khoản 4 Khoản 5 Điều 7 Quyết định số </w:t>
            </w:r>
            <w:r w:rsidRPr="00E93B50">
              <w:rPr>
                <w:rFonts w:ascii="Times New Roman" w:hAnsi="Times New Roman" w:cs="Times New Roman"/>
                <w:bCs/>
                <w:color w:val="auto"/>
              </w:rPr>
              <w:t>56/2022/QĐ-UBND</w:t>
            </w:r>
            <w:r w:rsidRPr="00E93B50">
              <w:rPr>
                <w:rFonts w:ascii="Times New Roman" w:hAnsi="Times New Roman" w:cs="Times New Roman"/>
                <w:bCs/>
                <w:color w:val="auto"/>
                <w:lang w:val="en-US"/>
              </w:rPr>
              <w:t xml:space="preserve"> ngày 19 tháng 12 năm 2022 của UBND tỉnh Đồng Nai (cũ) và Khoản 6 Điều 1 Quyết định số </w:t>
            </w:r>
            <w:r w:rsidRPr="00E93B50">
              <w:rPr>
                <w:rFonts w:ascii="Times New Roman" w:hAnsi="Times New Roman" w:cs="Times New Roman"/>
                <w:bCs/>
                <w:color w:val="auto"/>
              </w:rPr>
              <w:t>52/2024/QĐ-UBND</w:t>
            </w:r>
            <w:r w:rsidRPr="00E93B50">
              <w:rPr>
                <w:rFonts w:ascii="Times New Roman" w:hAnsi="Times New Roman" w:cs="Times New Roman"/>
                <w:bCs/>
                <w:color w:val="auto"/>
                <w:lang w:val="en-US"/>
              </w:rPr>
              <w:t xml:space="preserve"> ngày 27/12/2024 của UBND tỉnh Bình Phước (cũ)</w:t>
            </w:r>
            <w:r w:rsidR="00694F5D">
              <w:rPr>
                <w:rFonts w:ascii="Times New Roman" w:hAnsi="Times New Roman" w:cs="Times New Roman"/>
                <w:bCs/>
                <w:color w:val="auto"/>
                <w:lang w:val="en-US"/>
              </w:rPr>
              <w:t xml:space="preserve"> và đề xuất lấy </w:t>
            </w:r>
            <w:r w:rsidR="00694F5D" w:rsidRPr="00FD3D9D">
              <w:rPr>
                <w:rFonts w:ascii="Times New Roman" w:hAnsi="Times New Roman" w:cs="Times New Roman"/>
                <w:color w:val="auto"/>
                <w:lang w:val="en-US"/>
              </w:rPr>
              <w:lastRenderedPageBreak/>
              <w:t>HLATĐB</w:t>
            </w:r>
            <w:r w:rsidR="00694F5D">
              <w:rPr>
                <w:rFonts w:ascii="Times New Roman" w:hAnsi="Times New Roman" w:cs="Times New Roman"/>
                <w:color w:val="auto"/>
                <w:lang w:val="en-US"/>
              </w:rPr>
              <w:t xml:space="preserve"> làm mốc theo </w:t>
            </w:r>
            <w:r w:rsidR="00694F5D" w:rsidRPr="00694F5D">
              <w:rPr>
                <w:rFonts w:ascii="Times New Roman" w:hAnsi="Times New Roman" w:cs="Times New Roman"/>
                <w:bCs/>
                <w:color w:val="auto"/>
                <w:lang w:val="en-US"/>
              </w:rPr>
              <w:t xml:space="preserve">Quyết định số </w:t>
            </w:r>
            <w:r w:rsidR="00694F5D" w:rsidRPr="00694F5D">
              <w:rPr>
                <w:rFonts w:ascii="Times New Roman" w:hAnsi="Times New Roman" w:cs="Times New Roman"/>
                <w:bCs/>
                <w:color w:val="auto"/>
              </w:rPr>
              <w:t>52/2024/QĐ-UBND</w:t>
            </w:r>
            <w:r w:rsidR="00694F5D" w:rsidRPr="00694F5D">
              <w:rPr>
                <w:rFonts w:ascii="Times New Roman" w:hAnsi="Times New Roman" w:cs="Times New Roman"/>
                <w:bCs/>
                <w:color w:val="auto"/>
                <w:lang w:val="en-US"/>
              </w:rPr>
              <w:t xml:space="preserve"> ngày 27/12/2024 của UBND tỉnh Bình Phước (cũ)</w:t>
            </w:r>
          </w:p>
        </w:tc>
      </w:tr>
      <w:tr w:rsidR="00E642D6" w:rsidRPr="002E4239" w14:paraId="40D56D54" w14:textId="77777777" w:rsidTr="00A85FA1">
        <w:trPr>
          <w:trHeight w:val="20"/>
          <w:jc w:val="center"/>
        </w:trPr>
        <w:tc>
          <w:tcPr>
            <w:tcW w:w="1554" w:type="pct"/>
            <w:shd w:val="clear" w:color="auto" w:fill="FFFFFF"/>
          </w:tcPr>
          <w:p w14:paraId="48208CBE" w14:textId="6A2DE540" w:rsidR="00AD1F52" w:rsidRPr="00AD1F52" w:rsidRDefault="00AD1F52" w:rsidP="00AD1F52">
            <w:pPr>
              <w:spacing w:before="60" w:after="60"/>
              <w:ind w:right="133"/>
              <w:jc w:val="both"/>
              <w:rPr>
                <w:rFonts w:ascii="Times New Roman" w:hAnsi="Times New Roman" w:cs="Times New Roman"/>
                <w:b/>
                <w:color w:val="auto"/>
                <w:shd w:val="clear" w:color="auto" w:fill="FFFFFF"/>
                <w:lang w:val="en-US"/>
              </w:rPr>
            </w:pPr>
            <w:r w:rsidRPr="00AD1F52">
              <w:rPr>
                <w:rFonts w:ascii="Times New Roman" w:hAnsi="Times New Roman" w:cs="Times New Roman"/>
                <w:b/>
                <w:color w:val="auto"/>
                <w:shd w:val="clear" w:color="auto" w:fill="FFFFFF"/>
                <w:lang w:val="en-US"/>
              </w:rPr>
              <w:lastRenderedPageBreak/>
              <w:t xml:space="preserve">Khoản 3 Điều 1 </w:t>
            </w:r>
            <w:r w:rsidRPr="00AD1F52">
              <w:rPr>
                <w:rFonts w:ascii="Times New Roman" w:hAnsi="Times New Roman" w:cs="Times New Roman"/>
                <w:b/>
                <w:color w:val="auto"/>
                <w:lang w:val="en-US"/>
              </w:rPr>
              <w:t xml:space="preserve">Quyết định số </w:t>
            </w:r>
            <w:r w:rsidRPr="00AD1F52">
              <w:rPr>
                <w:rFonts w:ascii="Times New Roman" w:hAnsi="Times New Roman" w:cs="Times New Roman"/>
                <w:b/>
                <w:color w:val="auto"/>
              </w:rPr>
              <w:t>52/2024/QĐ-UBND</w:t>
            </w:r>
            <w:r w:rsidRPr="00AD1F52">
              <w:rPr>
                <w:rFonts w:ascii="Times New Roman" w:hAnsi="Times New Roman" w:cs="Times New Roman"/>
                <w:b/>
                <w:color w:val="auto"/>
                <w:lang w:val="en-US"/>
              </w:rPr>
              <w:t xml:space="preserve"> ngày 27/12/2024 của UBND tỉnh Bình Phước (cũ)</w:t>
            </w:r>
            <w:r>
              <w:rPr>
                <w:rFonts w:ascii="Times New Roman" w:hAnsi="Times New Roman" w:cs="Times New Roman"/>
                <w:b/>
                <w:color w:val="auto"/>
                <w:lang w:val="en-US"/>
              </w:rPr>
              <w:t xml:space="preserve"> về </w:t>
            </w:r>
            <w:r w:rsidRPr="00AD1F52">
              <w:rPr>
                <w:rFonts w:ascii="Times New Roman" w:hAnsi="Times New Roman" w:cs="Times New Roman"/>
                <w:b/>
                <w:bCs/>
                <w:color w:val="auto"/>
              </w:rPr>
              <w:t>Xác định vị trí đất</w:t>
            </w:r>
            <w:r>
              <w:rPr>
                <w:rFonts w:ascii="Times New Roman" w:hAnsi="Times New Roman" w:cs="Times New Roman"/>
                <w:b/>
                <w:bCs/>
                <w:color w:val="auto"/>
                <w:lang w:val="en-US"/>
              </w:rPr>
              <w:t xml:space="preserve"> </w:t>
            </w:r>
            <w:r w:rsidRPr="00AD1F52">
              <w:rPr>
                <w:rFonts w:ascii="Times New Roman" w:hAnsi="Times New Roman" w:cs="Times New Roman"/>
                <w:b/>
                <w:bCs/>
                <w:color w:val="auto"/>
              </w:rPr>
              <w:t>đối với đất ở tại đô thị</w:t>
            </w:r>
            <w:r>
              <w:rPr>
                <w:rFonts w:ascii="Times New Roman" w:hAnsi="Times New Roman" w:cs="Times New Roman"/>
                <w:b/>
                <w:bCs/>
                <w:color w:val="auto"/>
                <w:lang w:val="en-US"/>
              </w:rPr>
              <w:t>:</w:t>
            </w:r>
          </w:p>
          <w:p w14:paraId="43DFDCCD" w14:textId="678082A3" w:rsidR="00AD1F52" w:rsidRPr="00AD1F52" w:rsidRDefault="00AD1F52" w:rsidP="00AD1F52">
            <w:pPr>
              <w:spacing w:before="60" w:after="60"/>
              <w:ind w:right="133"/>
              <w:jc w:val="both"/>
              <w:rPr>
                <w:rFonts w:ascii="Times New Roman" w:hAnsi="Times New Roman" w:cs="Times New Roman"/>
                <w:bCs/>
                <w:color w:val="auto"/>
                <w:shd w:val="clear" w:color="auto" w:fill="FFFFFF"/>
                <w:lang w:val="en-US"/>
              </w:rPr>
            </w:pPr>
            <w:r w:rsidRPr="00AD1F52">
              <w:rPr>
                <w:rFonts w:ascii="Times New Roman" w:hAnsi="Times New Roman" w:cs="Times New Roman"/>
                <w:bCs/>
                <w:color w:val="auto"/>
                <w:shd w:val="clear" w:color="auto" w:fill="FFFFFF"/>
              </w:rPr>
              <w:t>“1. Đất ở tại đô thị là đất ở tại các phường thuộc thành phố Đồng Xoài, thị xã Bình Long, thị xã Phước Long, thị xã Chơn Thành, thị trấn thuộc các huyện và các xã thuộc thành phố, thị xã, huyện được cơ quan có thẩm quyền công nhận đạt đô thị loại V. Đất ở tại đô thị được xác định bởi 02 (hai) vị trí:</w:t>
            </w:r>
          </w:p>
          <w:p w14:paraId="7E26844D" w14:textId="77777777" w:rsidR="00AD1F52" w:rsidRPr="00AD1F52" w:rsidRDefault="00AD1F52" w:rsidP="00AD1F52">
            <w:pPr>
              <w:spacing w:before="60" w:after="60"/>
              <w:ind w:right="133"/>
              <w:jc w:val="both"/>
              <w:rPr>
                <w:rFonts w:ascii="Times New Roman" w:hAnsi="Times New Roman" w:cs="Times New Roman"/>
                <w:bCs/>
                <w:color w:val="auto"/>
                <w:shd w:val="clear" w:color="auto" w:fill="FFFFFF"/>
                <w:lang w:val="en-US"/>
              </w:rPr>
            </w:pPr>
            <w:r w:rsidRPr="00AD1F52">
              <w:rPr>
                <w:rFonts w:ascii="Times New Roman" w:hAnsi="Times New Roman" w:cs="Times New Roman"/>
                <w:bCs/>
                <w:color w:val="auto"/>
                <w:shd w:val="clear" w:color="auto" w:fill="FFFFFF"/>
              </w:rPr>
              <w:lastRenderedPageBreak/>
              <w:t>a) Vị trí 1 (Vị trí mặt tiền đường giao thông): Thửa đất có mặt tiền tiếp giáp các đường phố, tuyến đường giao thông trên địa bàn các phường, thị trấn và các xã được cơ quan có thẩm quyền công nhận đạt đô thị loại V thuộc các huyện, thị xã, thành phố đã có hạ tầng đồng bộ và có khả năng sinh lợi thì được quy định mức giá đất cụ thể tại Phụ lục I;</w:t>
            </w:r>
          </w:p>
          <w:p w14:paraId="26AE8A64" w14:textId="77777777" w:rsidR="00AD1F52" w:rsidRPr="00AD1F52" w:rsidRDefault="00AD1F52" w:rsidP="00AD1F52">
            <w:pPr>
              <w:spacing w:before="60" w:after="60"/>
              <w:ind w:right="133"/>
              <w:jc w:val="both"/>
              <w:rPr>
                <w:rFonts w:ascii="Times New Roman" w:hAnsi="Times New Roman" w:cs="Times New Roman"/>
                <w:bCs/>
                <w:color w:val="auto"/>
                <w:shd w:val="clear" w:color="auto" w:fill="FFFFFF"/>
                <w:lang w:val="en-US"/>
              </w:rPr>
            </w:pPr>
            <w:r w:rsidRPr="00AD1F52">
              <w:rPr>
                <w:rFonts w:ascii="Times New Roman" w:hAnsi="Times New Roman" w:cs="Times New Roman"/>
                <w:bCs/>
                <w:color w:val="auto"/>
                <w:shd w:val="clear" w:color="auto" w:fill="FFFFFF"/>
              </w:rPr>
              <w:t>b) Vị trí 2 (Vị trí còn lại): Thửa đất không tiếp giáp đường giao thông.”</w:t>
            </w:r>
          </w:p>
          <w:p w14:paraId="0D996588" w14:textId="1909CA27" w:rsidR="00AD1F52" w:rsidRPr="00AD1F52" w:rsidRDefault="00AD1F52" w:rsidP="00AD1F52">
            <w:pPr>
              <w:spacing w:before="60" w:after="60"/>
              <w:ind w:right="133"/>
              <w:jc w:val="both"/>
              <w:rPr>
                <w:rFonts w:ascii="Times New Roman" w:hAnsi="Times New Roman" w:cs="Times New Roman"/>
                <w:b/>
                <w:bCs/>
                <w:color w:val="auto"/>
                <w:shd w:val="clear" w:color="auto" w:fill="FFFFFF"/>
                <w:lang w:val="en-US"/>
              </w:rPr>
            </w:pPr>
            <w:r>
              <w:rPr>
                <w:rFonts w:ascii="Times New Roman" w:hAnsi="Times New Roman" w:cs="Times New Roman"/>
                <w:b/>
                <w:bCs/>
                <w:color w:val="auto"/>
                <w:shd w:val="clear" w:color="auto" w:fill="FFFFFF"/>
                <w:lang w:val="en-US"/>
              </w:rPr>
              <w:t xml:space="preserve">Khoản 2 Điều 5 </w:t>
            </w:r>
            <w:r>
              <w:rPr>
                <w:rFonts w:ascii="Times New Roman" w:hAnsi="Times New Roman" w:cs="Times New Roman"/>
                <w:b/>
                <w:bCs/>
                <w:color w:val="auto"/>
                <w:lang w:val="en-US"/>
              </w:rPr>
              <w:t xml:space="preserve">Quyết định </w:t>
            </w:r>
            <w:r w:rsidRPr="0059386E">
              <w:rPr>
                <w:rFonts w:ascii="Times New Roman" w:hAnsi="Times New Roman" w:cs="Times New Roman"/>
                <w:b/>
                <w:bCs/>
                <w:color w:val="auto"/>
              </w:rPr>
              <w:t>18/2020/QĐ-UBND</w:t>
            </w:r>
            <w:r>
              <w:rPr>
                <w:rFonts w:ascii="Times New Roman" w:hAnsi="Times New Roman" w:cs="Times New Roman"/>
                <w:b/>
                <w:bCs/>
                <w:color w:val="auto"/>
                <w:lang w:val="en-US"/>
              </w:rPr>
              <w:t xml:space="preserve"> xác định phạm vi đất đối với đất ở đô thị:</w:t>
            </w:r>
          </w:p>
          <w:p w14:paraId="1BB794F6" w14:textId="3006BD50"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b/>
                <w:bCs/>
                <w:color w:val="auto"/>
                <w:shd w:val="clear" w:color="auto" w:fill="FFFFFF"/>
                <w:lang w:val="en-US"/>
              </w:rPr>
              <w:t>Điều 5. Xác định vị trí đất, phạm vi đất đối với đất ở tại đô thị</w:t>
            </w:r>
          </w:p>
          <w:p w14:paraId="6652E5B7"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2. Phạm vi đất ở tại đô thị.</w:t>
            </w:r>
          </w:p>
          <w:p w14:paraId="15439A8A"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Đơn giá đất ở tại đô thị được xác định theo 05 phạm vi tính từ mép ngoài HLBVĐB đối với các đường phố, các tuyến đường đã có quy định HLBVĐB (hoặc tính từ mép đường đối với các trường hợp chưa có HLBVĐB), cụ thể như sau:</w:t>
            </w:r>
          </w:p>
          <w:p w14:paraId="5D8C59AD"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a) Phạm vi 1: 25m đầu;</w:t>
            </w:r>
          </w:p>
          <w:p w14:paraId="6C592EDE"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b) Phạm vi 2: từ trên 25m đến 50m;</w:t>
            </w:r>
          </w:p>
          <w:p w14:paraId="3467DF81"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c) Phạm vi 3: Từ trên 50m đến 100m;</w:t>
            </w:r>
          </w:p>
          <w:p w14:paraId="0FF61E39"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lastRenderedPageBreak/>
              <w:t>d) Phạm vi 4: Từ trên 100m đến 200m;</w:t>
            </w:r>
          </w:p>
          <w:p w14:paraId="6FF239AF"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e) Phạm vi 5: Từ trên 200m.</w:t>
            </w:r>
          </w:p>
          <w:p w14:paraId="29B68937" w14:textId="3ED2EBC4" w:rsidR="00AD1F52" w:rsidRDefault="00AD1F52" w:rsidP="00AD1F52">
            <w:pPr>
              <w:spacing w:before="60" w:after="60"/>
              <w:ind w:right="133"/>
              <w:jc w:val="both"/>
              <w:rPr>
                <w:rFonts w:ascii="Times New Roman" w:hAnsi="Times New Roman" w:cs="Times New Roman"/>
                <w:b/>
                <w:bCs/>
                <w:color w:val="auto"/>
                <w:lang w:val="en-US"/>
              </w:rPr>
            </w:pPr>
            <w:r w:rsidRPr="00AD1F52">
              <w:rPr>
                <w:rFonts w:ascii="Times New Roman" w:hAnsi="Times New Roman" w:cs="Times New Roman"/>
                <w:b/>
                <w:bCs/>
                <w:color w:val="auto"/>
                <w:shd w:val="clear" w:color="auto" w:fill="FFFFFF"/>
                <w:lang w:val="en-US"/>
              </w:rPr>
              <w:t>Khoản</w:t>
            </w:r>
            <w:r>
              <w:rPr>
                <w:rFonts w:ascii="Times New Roman" w:hAnsi="Times New Roman" w:cs="Times New Roman"/>
                <w:color w:val="auto"/>
                <w:shd w:val="clear" w:color="auto" w:fill="FFFFFF"/>
                <w:lang w:val="en-US"/>
              </w:rPr>
              <w:t xml:space="preserve"> 1 </w:t>
            </w:r>
            <w:r>
              <w:rPr>
                <w:rFonts w:ascii="Times New Roman" w:hAnsi="Times New Roman" w:cs="Times New Roman"/>
                <w:b/>
                <w:bCs/>
                <w:color w:val="auto"/>
                <w:shd w:val="clear" w:color="auto" w:fill="FFFFFF"/>
                <w:lang w:val="en-US"/>
              </w:rPr>
              <w:t xml:space="preserve">Điều 6 </w:t>
            </w:r>
            <w:r>
              <w:rPr>
                <w:rFonts w:ascii="Times New Roman" w:hAnsi="Times New Roman" w:cs="Times New Roman"/>
                <w:b/>
                <w:bCs/>
                <w:color w:val="auto"/>
                <w:lang w:val="en-US"/>
              </w:rPr>
              <w:t xml:space="preserve">Quyết định </w:t>
            </w:r>
            <w:r w:rsidRPr="0059386E">
              <w:rPr>
                <w:rFonts w:ascii="Times New Roman" w:hAnsi="Times New Roman" w:cs="Times New Roman"/>
                <w:b/>
                <w:bCs/>
                <w:color w:val="auto"/>
              </w:rPr>
              <w:t>18/2020/QĐ-UBND</w:t>
            </w:r>
            <w:r>
              <w:rPr>
                <w:rFonts w:ascii="Times New Roman" w:hAnsi="Times New Roman" w:cs="Times New Roman"/>
                <w:b/>
                <w:bCs/>
                <w:color w:val="auto"/>
                <w:lang w:val="en-US"/>
              </w:rPr>
              <w:t xml:space="preserve"> xác định vị trí đất đôi với đất ở nông thôn:</w:t>
            </w:r>
          </w:p>
          <w:p w14:paraId="4108451C" w14:textId="77777777" w:rsidR="00AD1F52" w:rsidRPr="00AD1F52" w:rsidRDefault="00AD1F52" w:rsidP="00AD1F52">
            <w:pPr>
              <w:spacing w:before="60" w:after="60"/>
              <w:ind w:right="133"/>
              <w:jc w:val="both"/>
              <w:rPr>
                <w:rFonts w:ascii="Times New Roman" w:hAnsi="Times New Roman" w:cs="Times New Roman"/>
                <w:b/>
                <w:bCs/>
                <w:color w:val="auto"/>
                <w:shd w:val="clear" w:color="auto" w:fill="FFFFFF"/>
                <w:lang w:val="en-US"/>
              </w:rPr>
            </w:pPr>
            <w:r w:rsidRPr="00AD1F52">
              <w:rPr>
                <w:rFonts w:ascii="Times New Roman" w:hAnsi="Times New Roman" w:cs="Times New Roman"/>
                <w:b/>
                <w:bCs/>
                <w:color w:val="auto"/>
                <w:shd w:val="clear" w:color="auto" w:fill="FFFFFF"/>
                <w:lang w:val="en-US"/>
              </w:rPr>
              <w:t>Điều 6. Xác định vị trí đất, phạm vi đất đối với đất ở tại nông thôn</w:t>
            </w:r>
          </w:p>
          <w:p w14:paraId="75501524"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1. Đất ở tại nông thôn là đất ở tại các xã trên địa bàn các huyện, thị xã, thành phố, đất ở tại nông thôn được xác định bởi 02 vị trí:</w:t>
            </w:r>
          </w:p>
          <w:p w14:paraId="1C47FB58"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a) Vị trí mặt tiền đường: Đất ở tại nông thôn có mặt tiền tiếp giáp các tuyến đường giao thông trên địa bàn các xã thuộc các huyện, thị xã, thành phố thì được quy định mức giá đất cụ thể tại Phụ lục 01;</w:t>
            </w:r>
          </w:p>
          <w:p w14:paraId="10821CCA"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lang w:val="sv-SE"/>
              </w:rPr>
              <w:t>b) Vị trí còn lại: Thửa đất không tiếp giáp đường giao thông.</w:t>
            </w:r>
          </w:p>
          <w:p w14:paraId="5F3DB27D" w14:textId="47ED92A6" w:rsid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b/>
                <w:color w:val="auto"/>
                <w:shd w:val="clear" w:color="auto" w:fill="FFFFFF"/>
                <w:lang w:val="en-US"/>
              </w:rPr>
              <w:t xml:space="preserve">Khoản </w:t>
            </w:r>
            <w:r>
              <w:rPr>
                <w:rFonts w:ascii="Times New Roman" w:hAnsi="Times New Roman" w:cs="Times New Roman"/>
                <w:b/>
                <w:color w:val="auto"/>
                <w:shd w:val="clear" w:color="auto" w:fill="FFFFFF"/>
                <w:lang w:val="en-US"/>
              </w:rPr>
              <w:t>4</w:t>
            </w:r>
            <w:r w:rsidRPr="00AD1F52">
              <w:rPr>
                <w:rFonts w:ascii="Times New Roman" w:hAnsi="Times New Roman" w:cs="Times New Roman"/>
                <w:b/>
                <w:color w:val="auto"/>
                <w:shd w:val="clear" w:color="auto" w:fill="FFFFFF"/>
                <w:lang w:val="en-US"/>
              </w:rPr>
              <w:t xml:space="preserve"> Điều 1 </w:t>
            </w:r>
            <w:r w:rsidRPr="00AD1F52">
              <w:rPr>
                <w:rFonts w:ascii="Times New Roman" w:hAnsi="Times New Roman" w:cs="Times New Roman"/>
                <w:b/>
                <w:color w:val="auto"/>
                <w:lang w:val="en-US"/>
              </w:rPr>
              <w:t xml:space="preserve">Quyết định số </w:t>
            </w:r>
            <w:r w:rsidRPr="00AD1F52">
              <w:rPr>
                <w:rFonts w:ascii="Times New Roman" w:hAnsi="Times New Roman" w:cs="Times New Roman"/>
                <w:b/>
                <w:color w:val="auto"/>
              </w:rPr>
              <w:t>52/2024/QĐ-UBND</w:t>
            </w:r>
            <w:r w:rsidRPr="00AD1F52">
              <w:rPr>
                <w:rFonts w:ascii="Times New Roman" w:hAnsi="Times New Roman" w:cs="Times New Roman"/>
                <w:b/>
                <w:color w:val="auto"/>
                <w:lang w:val="en-US"/>
              </w:rPr>
              <w:t xml:space="preserve"> ngày 27/12/2024 của UBND tỉnh Bình Phước (cũ)</w:t>
            </w:r>
            <w:r>
              <w:rPr>
                <w:rFonts w:ascii="Times New Roman" w:hAnsi="Times New Roman" w:cs="Times New Roman"/>
                <w:b/>
                <w:color w:val="auto"/>
                <w:lang w:val="en-US"/>
              </w:rPr>
              <w:t xml:space="preserve"> về </w:t>
            </w:r>
            <w:r w:rsidRPr="00AD1F52">
              <w:rPr>
                <w:rFonts w:ascii="Times New Roman" w:hAnsi="Times New Roman" w:cs="Times New Roman"/>
                <w:b/>
                <w:bCs/>
                <w:color w:val="auto"/>
              </w:rPr>
              <w:t xml:space="preserve">Xác định </w:t>
            </w:r>
            <w:r>
              <w:rPr>
                <w:rFonts w:ascii="Times New Roman" w:hAnsi="Times New Roman" w:cs="Times New Roman"/>
                <w:b/>
                <w:bCs/>
                <w:color w:val="auto"/>
                <w:lang w:val="en-US"/>
              </w:rPr>
              <w:t xml:space="preserve">phạm vị đất </w:t>
            </w:r>
            <w:r w:rsidRPr="00AD1F52">
              <w:rPr>
                <w:rFonts w:ascii="Times New Roman" w:hAnsi="Times New Roman" w:cs="Times New Roman"/>
                <w:b/>
                <w:bCs/>
                <w:color w:val="auto"/>
              </w:rPr>
              <w:t xml:space="preserve">đối với đất ở </w:t>
            </w:r>
            <w:r>
              <w:rPr>
                <w:rFonts w:ascii="Times New Roman" w:hAnsi="Times New Roman" w:cs="Times New Roman"/>
                <w:b/>
                <w:bCs/>
                <w:color w:val="auto"/>
                <w:lang w:val="en-US"/>
              </w:rPr>
              <w:t>tại nông thôn:</w:t>
            </w:r>
          </w:p>
          <w:p w14:paraId="48D26897" w14:textId="07804758"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“2. Phạm vi đất ở tại nông thôn.</w:t>
            </w:r>
          </w:p>
          <w:p w14:paraId="4B035773"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 xml:space="preserve">Đơn giá đất ở tại nông thôn được xác định theo 05 phạm vi tính từ mép ngoài HLBVĐB đối với </w:t>
            </w:r>
            <w:r w:rsidRPr="00AD1F52">
              <w:rPr>
                <w:rFonts w:ascii="Times New Roman" w:hAnsi="Times New Roman" w:cs="Times New Roman"/>
                <w:color w:val="auto"/>
                <w:shd w:val="clear" w:color="auto" w:fill="FFFFFF"/>
              </w:rPr>
              <w:lastRenderedPageBreak/>
              <w:t>các tuyến đường đã có quy định HLBVĐB (hoặc tính từ mép đường đối với các trường hợp chưa có HLBVĐB), cụ thể như sau:</w:t>
            </w:r>
          </w:p>
          <w:p w14:paraId="5A3EB483"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a) Phạm vi 1: 25m đầu;</w:t>
            </w:r>
          </w:p>
          <w:p w14:paraId="329FE859"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b) Phạm vi 2: Từ trên 25m đến 5</w:t>
            </w:r>
            <w:r w:rsidRPr="00AD1F52">
              <w:rPr>
                <w:rFonts w:ascii="Times New Roman" w:hAnsi="Times New Roman" w:cs="Times New Roman"/>
                <w:color w:val="auto"/>
                <w:shd w:val="clear" w:color="auto" w:fill="FFFFFF"/>
                <w:lang w:val="en-US"/>
              </w:rPr>
              <w:t>0</w:t>
            </w:r>
            <w:r w:rsidRPr="00AD1F52">
              <w:rPr>
                <w:rFonts w:ascii="Times New Roman" w:hAnsi="Times New Roman" w:cs="Times New Roman"/>
                <w:color w:val="auto"/>
                <w:shd w:val="clear" w:color="auto" w:fill="FFFFFF"/>
              </w:rPr>
              <w:t>m;</w:t>
            </w:r>
          </w:p>
          <w:p w14:paraId="3BA1613E"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c) Phạm vi 3: Từ trên 5</w:t>
            </w:r>
            <w:r w:rsidRPr="00AD1F52">
              <w:rPr>
                <w:rFonts w:ascii="Times New Roman" w:hAnsi="Times New Roman" w:cs="Times New Roman"/>
                <w:color w:val="auto"/>
                <w:shd w:val="clear" w:color="auto" w:fill="FFFFFF"/>
                <w:lang w:val="en-US"/>
              </w:rPr>
              <w:t>0</w:t>
            </w:r>
            <w:r w:rsidRPr="00AD1F52">
              <w:rPr>
                <w:rFonts w:ascii="Times New Roman" w:hAnsi="Times New Roman" w:cs="Times New Roman"/>
                <w:color w:val="auto"/>
                <w:shd w:val="clear" w:color="auto" w:fill="FFFFFF"/>
              </w:rPr>
              <w:t>m đến </w:t>
            </w:r>
            <w:r w:rsidRPr="00AD1F52">
              <w:rPr>
                <w:rFonts w:ascii="Times New Roman" w:hAnsi="Times New Roman" w:cs="Times New Roman"/>
                <w:color w:val="auto"/>
                <w:shd w:val="clear" w:color="auto" w:fill="FFFFFF"/>
                <w:lang w:val="en-US"/>
              </w:rPr>
              <w:t>100</w:t>
            </w:r>
            <w:r w:rsidRPr="00AD1F52">
              <w:rPr>
                <w:rFonts w:ascii="Times New Roman" w:hAnsi="Times New Roman" w:cs="Times New Roman"/>
                <w:color w:val="auto"/>
                <w:shd w:val="clear" w:color="auto" w:fill="FFFFFF"/>
              </w:rPr>
              <w:t>m;</w:t>
            </w:r>
          </w:p>
          <w:p w14:paraId="391C693B"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d) Phạm vi 4: Từ trên </w:t>
            </w:r>
            <w:r w:rsidRPr="00AD1F52">
              <w:rPr>
                <w:rFonts w:ascii="Times New Roman" w:hAnsi="Times New Roman" w:cs="Times New Roman"/>
                <w:color w:val="auto"/>
                <w:shd w:val="clear" w:color="auto" w:fill="FFFFFF"/>
                <w:lang w:val="en-US"/>
              </w:rPr>
              <w:t>100</w:t>
            </w:r>
            <w:r w:rsidRPr="00AD1F52">
              <w:rPr>
                <w:rFonts w:ascii="Times New Roman" w:hAnsi="Times New Roman" w:cs="Times New Roman"/>
                <w:color w:val="auto"/>
                <w:shd w:val="clear" w:color="auto" w:fill="FFFFFF"/>
              </w:rPr>
              <w:t>m đến 200m;</w:t>
            </w:r>
          </w:p>
          <w:p w14:paraId="11FDD0E2" w14:textId="77777777" w:rsidR="00AD1F52" w:rsidRPr="00AD1F52" w:rsidRDefault="00AD1F52" w:rsidP="00AD1F52">
            <w:pPr>
              <w:spacing w:before="60" w:after="60"/>
              <w:ind w:right="133"/>
              <w:jc w:val="both"/>
              <w:rPr>
                <w:rFonts w:ascii="Times New Roman" w:hAnsi="Times New Roman" w:cs="Times New Roman"/>
                <w:color w:val="auto"/>
                <w:shd w:val="clear" w:color="auto" w:fill="FFFFFF"/>
                <w:lang w:val="en-US"/>
              </w:rPr>
            </w:pPr>
            <w:r w:rsidRPr="00AD1F52">
              <w:rPr>
                <w:rFonts w:ascii="Times New Roman" w:hAnsi="Times New Roman" w:cs="Times New Roman"/>
                <w:color w:val="auto"/>
                <w:shd w:val="clear" w:color="auto" w:fill="FFFFFF"/>
              </w:rPr>
              <w:t>đ) Phạm vi 5: Từ trên 200m.”</w:t>
            </w:r>
          </w:p>
          <w:p w14:paraId="1A965678" w14:textId="77777777" w:rsidR="00AD1F52" w:rsidRPr="00AD1F52" w:rsidRDefault="00AD1F52" w:rsidP="00AD1F52">
            <w:pPr>
              <w:spacing w:before="60" w:after="60"/>
              <w:ind w:right="133"/>
              <w:jc w:val="both"/>
              <w:rPr>
                <w:rFonts w:ascii="Times New Roman" w:hAnsi="Times New Roman" w:cs="Times New Roman"/>
                <w:b/>
                <w:bCs/>
                <w:color w:val="auto"/>
                <w:shd w:val="clear" w:color="auto" w:fill="FFFFFF"/>
                <w:lang w:val="en-US"/>
              </w:rPr>
            </w:pPr>
          </w:p>
          <w:p w14:paraId="0C549A1A" w14:textId="5ABAC60A" w:rsidR="00E642D6" w:rsidRPr="002E4239" w:rsidRDefault="00E642D6" w:rsidP="00BA660F">
            <w:pPr>
              <w:spacing w:before="60" w:after="60"/>
              <w:ind w:right="133"/>
              <w:jc w:val="both"/>
              <w:rPr>
                <w:rFonts w:ascii="Times New Roman" w:hAnsi="Times New Roman" w:cs="Times New Roman"/>
                <w:color w:val="auto"/>
                <w:shd w:val="clear" w:color="auto" w:fill="FFFFFF"/>
                <w:lang w:val="en-US"/>
              </w:rPr>
            </w:pPr>
          </w:p>
        </w:tc>
        <w:tc>
          <w:tcPr>
            <w:tcW w:w="1484" w:type="pct"/>
            <w:shd w:val="clear" w:color="auto" w:fill="FFFFFF"/>
          </w:tcPr>
          <w:p w14:paraId="0DB7D427" w14:textId="70C0843C" w:rsidR="00331C4E" w:rsidRPr="00331C4E" w:rsidRDefault="00331C4E" w:rsidP="00331C4E">
            <w:pPr>
              <w:spacing w:before="60" w:after="60"/>
              <w:ind w:left="127" w:right="137"/>
              <w:jc w:val="both"/>
              <w:rPr>
                <w:rFonts w:ascii="Times New Roman" w:hAnsi="Times New Roman" w:cs="Times New Roman"/>
                <w:b/>
                <w:bCs/>
                <w:color w:val="auto"/>
                <w:lang w:val="en-US"/>
              </w:rPr>
            </w:pPr>
            <w:r>
              <w:rPr>
                <w:rFonts w:ascii="Times New Roman" w:hAnsi="Times New Roman" w:cs="Times New Roman"/>
                <w:b/>
                <w:color w:val="auto"/>
                <w:lang w:val="en-US"/>
              </w:rPr>
              <w:lastRenderedPageBreak/>
              <w:t xml:space="preserve">Khoản 1,2,4,5 </w:t>
            </w:r>
            <w:r w:rsidRPr="00B56C2D">
              <w:rPr>
                <w:rFonts w:ascii="Times New Roman" w:hAnsi="Times New Roman" w:cs="Times New Roman"/>
                <w:b/>
                <w:color w:val="auto"/>
                <w:lang w:val="en-US"/>
              </w:rPr>
              <w:t xml:space="preserve">Điều 7 Quyết định số </w:t>
            </w:r>
            <w:r w:rsidRPr="00B56C2D">
              <w:rPr>
                <w:rFonts w:ascii="Times New Roman" w:hAnsi="Times New Roman" w:cs="Times New Roman"/>
                <w:b/>
                <w:color w:val="auto"/>
              </w:rPr>
              <w:t>56/2022/QĐ-UBND</w:t>
            </w:r>
            <w:r>
              <w:rPr>
                <w:rFonts w:ascii="Times New Roman" w:hAnsi="Times New Roman" w:cs="Times New Roman"/>
                <w:b/>
                <w:color w:val="auto"/>
                <w:lang w:val="en-US"/>
              </w:rPr>
              <w:t>:</w:t>
            </w:r>
          </w:p>
          <w:p w14:paraId="6DA34B18" w14:textId="1E5DC0BD" w:rsidR="00331C4E" w:rsidRPr="00331C4E" w:rsidRDefault="00331C4E" w:rsidP="00331C4E">
            <w:pPr>
              <w:spacing w:before="60" w:after="60"/>
              <w:ind w:left="127" w:right="137"/>
              <w:jc w:val="both"/>
              <w:rPr>
                <w:rFonts w:ascii="Times New Roman" w:hAnsi="Times New Roman" w:cs="Times New Roman"/>
                <w:b/>
                <w:bCs/>
                <w:color w:val="auto"/>
                <w:lang w:val="en-US"/>
              </w:rPr>
            </w:pPr>
            <w:r w:rsidRPr="00331C4E">
              <w:rPr>
                <w:rFonts w:ascii="Times New Roman" w:hAnsi="Times New Roman" w:cs="Times New Roman"/>
                <w:b/>
                <w:bCs/>
                <w:color w:val="auto"/>
              </w:rPr>
              <w:t>Điều 7. Phân vị trí đất phi nông nghiệp</w:t>
            </w:r>
          </w:p>
          <w:p w14:paraId="2C84BB73"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1. Tại đô thị</w:t>
            </w:r>
          </w:p>
          <w:p w14:paraId="7B17FB9F"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Gồm 4 cấp vị trí:</w:t>
            </w:r>
          </w:p>
          <w:p w14:paraId="621D0296"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a) Vị trí 1: Các thửa đất mặt tiền đường phố.</w:t>
            </w:r>
          </w:p>
          <w:p w14:paraId="0DF93034"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b) Vị trí 2: Bao gồm các trường hợp sau:</w:t>
            </w:r>
          </w:p>
          <w:p w14:paraId="2BBAEA19"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≥5m, cách đường phố ≤600m;</w:t>
            </w:r>
          </w:p>
          <w:p w14:paraId="3CB38531"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xml:space="preserve">- Các thửa đất mặt tiền hẻm có bề rộng từ </w:t>
            </w:r>
            <w:r w:rsidRPr="00331C4E">
              <w:rPr>
                <w:rFonts w:ascii="Times New Roman" w:hAnsi="Times New Roman" w:cs="Times New Roman"/>
                <w:color w:val="auto"/>
              </w:rPr>
              <w:lastRenderedPageBreak/>
              <w:t>≥3m đến &lt;5m, cách đường phố ≤400m.</w:t>
            </w:r>
          </w:p>
          <w:p w14:paraId="4E0986E9"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c) Vị trí 3: Bao gồm các trường hợp sau:</w:t>
            </w:r>
          </w:p>
          <w:p w14:paraId="5E8977E0"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≥5m, cách đường phố &gt;600m.</w:t>
            </w:r>
          </w:p>
          <w:p w14:paraId="5AC8C768"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từ ≥3m đến &lt;5m, cách đường phố từ &gt;400m đến ≤600m.</w:t>
            </w:r>
          </w:p>
          <w:p w14:paraId="6396C45C"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 Các thửa đất mặt tiền hẻm có bề rộng &lt;3m, cách đường phố ≤200m.</w:t>
            </w:r>
          </w:p>
          <w:p w14:paraId="29F7E69F" w14:textId="77777777" w:rsidR="00331C4E" w:rsidRPr="00331C4E" w:rsidRDefault="00331C4E" w:rsidP="00331C4E">
            <w:pPr>
              <w:spacing w:before="60" w:after="60"/>
              <w:ind w:left="127" w:right="137"/>
              <w:jc w:val="both"/>
              <w:rPr>
                <w:rFonts w:ascii="Times New Roman" w:hAnsi="Times New Roman" w:cs="Times New Roman"/>
                <w:color w:val="auto"/>
                <w:lang w:val="en-US"/>
              </w:rPr>
            </w:pPr>
            <w:r w:rsidRPr="00331C4E">
              <w:rPr>
                <w:rFonts w:ascii="Times New Roman" w:hAnsi="Times New Roman" w:cs="Times New Roman"/>
                <w:color w:val="auto"/>
              </w:rPr>
              <w:t>d) Vị trí 4: Các thửa đất còn lại tại đô thị.</w:t>
            </w:r>
          </w:p>
          <w:p w14:paraId="480EA1FD"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2. Tại nông thôn</w:t>
            </w:r>
          </w:p>
          <w:p w14:paraId="74694731"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Gồm 4 cấp vị trí:</w:t>
            </w:r>
          </w:p>
          <w:p w14:paraId="05DD0C4E"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a) Vị trí 1: Các thửa đất mặt tiền đường giao thông chính.</w:t>
            </w:r>
          </w:p>
          <w:p w14:paraId="0C2DB639"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b) Vị trí 2: Bao gồm các trường hợp sau:</w:t>
            </w:r>
          </w:p>
          <w:p w14:paraId="50B470CA"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≥5m, cách đường giao thông chính ≤1.</w:t>
            </w:r>
            <w:r w:rsidRPr="00331C4E">
              <w:rPr>
                <w:rFonts w:ascii="Times New Roman" w:hAnsi="Times New Roman" w:cs="Times New Roman"/>
                <w:bCs/>
                <w:color w:val="auto"/>
                <w:lang w:val="en-US"/>
              </w:rPr>
              <w:t>000</w:t>
            </w:r>
            <w:r w:rsidRPr="00331C4E">
              <w:rPr>
                <w:rFonts w:ascii="Times New Roman" w:hAnsi="Times New Roman" w:cs="Times New Roman"/>
                <w:bCs/>
                <w:color w:val="auto"/>
              </w:rPr>
              <w:t>m;</w:t>
            </w:r>
          </w:p>
          <w:p w14:paraId="3557C52F"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từ ≥3m đến &lt;5m, cách đường giao thông chính ≤500m.</w:t>
            </w:r>
          </w:p>
          <w:p w14:paraId="033460B6"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c) Vị trí 3: Bao gồm các trường hợp sau:</w:t>
            </w:r>
          </w:p>
          <w:p w14:paraId="0B6EE848"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≥5m, cách đường giao thông chính &gt;1.000m.</w:t>
            </w:r>
          </w:p>
          <w:p w14:paraId="38D1D48C"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lastRenderedPageBreak/>
              <w:t>- Các thửa đất mặt tiền hẻm có bề rộng từ ≥3m đến &lt;5m, cách đường giao thông chính từ &gt;500m đến ≤1.000m.</w:t>
            </w:r>
          </w:p>
          <w:p w14:paraId="64D3C6C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Các thửa đất mặt tiền hẻm có bề rộng &lt;3m, cách đường giao thông chính ≤200m.</w:t>
            </w:r>
          </w:p>
          <w:p w14:paraId="2B7DBF99"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d) Vị trí 4: Các thửa đất còn lại tại nông thôn.</w:t>
            </w:r>
          </w:p>
          <w:p w14:paraId="155A1911"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4. Thửa đất tại vị trí 1 theo quy định tại khoản 1, khoản 2 Điều 6 và khoản 1, khoản 2 Điều này (trừ đất khu công nghiệp, cụm công nghiệp, đất tại các đảo, cù lao) nếu có chiều sâu tính từ mốc lộ giới &gt;5</w:t>
            </w:r>
            <w:r w:rsidRPr="00331C4E">
              <w:rPr>
                <w:rFonts w:ascii="Times New Roman" w:hAnsi="Times New Roman" w:cs="Times New Roman"/>
                <w:bCs/>
                <w:color w:val="auto"/>
                <w:lang w:val="en-US"/>
              </w:rPr>
              <w:t>0</w:t>
            </w:r>
            <w:r w:rsidRPr="00331C4E">
              <w:rPr>
                <w:rFonts w:ascii="Times New Roman" w:hAnsi="Times New Roman" w:cs="Times New Roman"/>
                <w:bCs/>
                <w:color w:val="auto"/>
              </w:rPr>
              <w:t>m được tính theo quy định sau:</w:t>
            </w:r>
          </w:p>
          <w:p w14:paraId="3C806716"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a) Từ mốc lộ giới đến hết mét thứ 50: Tính bằng 100% giá đất vị trí 1 của đường đó.</w:t>
            </w:r>
          </w:p>
          <w:p w14:paraId="24FF7C8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b) Từ sau mét thứ 50 đến hết mét thứ 100: Tính bằng 80% giá đất vị trí 1 của đường đó.</w:t>
            </w:r>
          </w:p>
          <w:p w14:paraId="78591018"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c) Từ sau mét thứ 100 đến hết chiều sâu thửa đất: Tính bằng 50% giá đất vị trí 1 của đường đó.</w:t>
            </w:r>
          </w:p>
          <w:p w14:paraId="0BCB6CBF"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xml:space="preserve">d) Trường hợp thửa đất tại vị trí 1 sau khi xác định theo quy định tại điểm b, điểm c khoản này mà có mức giá đất thấp hơn mức giá đất tại vị trí 4 cùng loại đất, cùng đoạn đường, tuyến đường thì áp dụng bằng mức giá đất tại </w:t>
            </w:r>
            <w:r w:rsidRPr="00331C4E">
              <w:rPr>
                <w:rFonts w:ascii="Times New Roman" w:hAnsi="Times New Roman" w:cs="Times New Roman"/>
                <w:bCs/>
                <w:color w:val="auto"/>
              </w:rPr>
              <w:lastRenderedPageBreak/>
              <w:t>vị trí 4 của cùng loại đất, cùng đoạn đường, tuyến đường đó.</w:t>
            </w:r>
          </w:p>
          <w:p w14:paraId="161790F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Đối với các thửa đất, khu đất được giao, cho thuê hoặc đấu giá quyền sử dụng đất để thực hiện dự án, công trình mà ranh thửa đất, khu đất không trùng với lộ giới giao thông thì việc xác định chiều sâu của thửa đất, khu đất quy định tại khoản 4 Điều này được tính từ mốc lộ giới.</w:t>
            </w:r>
          </w:p>
          <w:p w14:paraId="21210257"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5. Trường hợp thửa đất có một phần hoặc toàn bộ diện tích nằm trong khoảng từ lề đường đến mốc lộ giới, khi cần định giá thì được xác định cùng vị trí với thửa đất mặt tiền của tuyến đường đó.</w:t>
            </w:r>
          </w:p>
          <w:p w14:paraId="0A637656"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Trường hợp tuyến đường không có quy định giới hạn hành lang an toàn giao thông (mốc lộ giới), thì chiều sâu của thửa đất theo quy định tại khoản 4 Điều này được tính từ ranh của thửa đất.</w:t>
            </w:r>
          </w:p>
          <w:p w14:paraId="24BF7399" w14:textId="77777777" w:rsidR="00331C4E" w:rsidRPr="00331C4E" w:rsidRDefault="00331C4E" w:rsidP="00331C4E">
            <w:pPr>
              <w:spacing w:before="60" w:after="60"/>
              <w:ind w:left="127" w:right="137"/>
              <w:jc w:val="both"/>
              <w:rPr>
                <w:rFonts w:ascii="Times New Roman" w:hAnsi="Times New Roman" w:cs="Times New Roman"/>
                <w:bCs/>
                <w:color w:val="auto"/>
                <w:lang w:val="en-US"/>
              </w:rPr>
            </w:pPr>
            <w:r w:rsidRPr="00331C4E">
              <w:rPr>
                <w:rFonts w:ascii="Times New Roman" w:hAnsi="Times New Roman" w:cs="Times New Roman"/>
                <w:bCs/>
                <w:color w:val="auto"/>
              </w:rPr>
              <w:t xml:space="preserve">Trường hợp tuyến đường mới được nâng cấp, mở rộng theo hình thức xã hội hóa mà chưa thực hiện thủ tục thu hồi đất và chỉnh lý hồ sơ địa chính thì chiều sâu của thửa đất được xác định từ lộ giới theo thiết kế (đối với trường hợp đường có lộ giới) hoặc xác định </w:t>
            </w:r>
            <w:r w:rsidRPr="00331C4E">
              <w:rPr>
                <w:rFonts w:ascii="Times New Roman" w:hAnsi="Times New Roman" w:cs="Times New Roman"/>
                <w:bCs/>
                <w:color w:val="auto"/>
              </w:rPr>
              <w:lastRenderedPageBreak/>
              <w:t>từ mép đường đã thi công thực tế (đối với trường hợp đường không có lộ giới).</w:t>
            </w:r>
          </w:p>
          <w:p w14:paraId="24A89650" w14:textId="7E32603F" w:rsidR="00E642D6" w:rsidRPr="002E4239" w:rsidRDefault="00E642D6" w:rsidP="00917D7F">
            <w:pPr>
              <w:spacing w:before="60" w:after="60"/>
              <w:ind w:left="127" w:right="137"/>
              <w:jc w:val="both"/>
              <w:rPr>
                <w:rFonts w:ascii="Times New Roman" w:hAnsi="Times New Roman" w:cs="Times New Roman"/>
                <w:bCs/>
                <w:color w:val="auto"/>
                <w:lang w:val="en-US"/>
              </w:rPr>
            </w:pPr>
          </w:p>
        </w:tc>
        <w:tc>
          <w:tcPr>
            <w:tcW w:w="1228" w:type="pct"/>
            <w:shd w:val="clear" w:color="auto" w:fill="FFFFFF"/>
          </w:tcPr>
          <w:p w14:paraId="5D42165C" w14:textId="7B427093" w:rsidR="00331C4E" w:rsidRPr="00E34160" w:rsidRDefault="00331C4E" w:rsidP="00331C4E">
            <w:pPr>
              <w:spacing w:before="60" w:after="60"/>
              <w:ind w:left="127" w:right="137"/>
              <w:jc w:val="both"/>
              <w:rPr>
                <w:rFonts w:ascii="Times New Roman" w:hAnsi="Times New Roman" w:cs="Times New Roman"/>
                <w:b/>
                <w:bCs/>
                <w:color w:val="auto"/>
              </w:rPr>
            </w:pPr>
            <w:bookmarkStart w:id="3" w:name="dieu_7"/>
            <w:r w:rsidRPr="00E34160">
              <w:rPr>
                <w:rFonts w:ascii="Times New Roman" w:hAnsi="Times New Roman" w:cs="Times New Roman"/>
                <w:b/>
                <w:bCs/>
                <w:color w:val="auto"/>
              </w:rPr>
              <w:lastRenderedPageBreak/>
              <w:t xml:space="preserve">Điều </w:t>
            </w:r>
            <w:r w:rsidR="00E34160" w:rsidRPr="00E34160">
              <w:rPr>
                <w:rFonts w:ascii="Times New Roman" w:hAnsi="Times New Roman" w:cs="Times New Roman"/>
                <w:b/>
                <w:bCs/>
                <w:color w:val="auto"/>
                <w:lang w:val="en-US"/>
              </w:rPr>
              <w:t>6</w:t>
            </w:r>
            <w:r w:rsidRPr="00E34160">
              <w:rPr>
                <w:rFonts w:ascii="Times New Roman" w:hAnsi="Times New Roman" w:cs="Times New Roman"/>
                <w:b/>
                <w:bCs/>
                <w:color w:val="auto"/>
              </w:rPr>
              <w:t xml:space="preserve">. </w:t>
            </w:r>
            <w:r w:rsidR="00E34160" w:rsidRPr="00E34160">
              <w:rPr>
                <w:rFonts w:ascii="Times New Roman" w:hAnsi="Times New Roman" w:cs="Times New Roman"/>
                <w:b/>
                <w:bCs/>
                <w:color w:val="auto"/>
              </w:rPr>
              <w:t>Tiêu chí xác định vị trí đất, phạm vi đất phi nông nghiệp</w:t>
            </w:r>
            <w:bookmarkEnd w:id="3"/>
          </w:p>
          <w:p w14:paraId="0E6ACF29"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1. Vị trí đất:</w:t>
            </w:r>
          </w:p>
          <w:p w14:paraId="329A0FDE"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 xml:space="preserve">Đất phi nông nghiệp (không bao gồm đất khu công nghiệp, cụm công nghiệp)  được phân thành 02 (hai) vị trí như sau: </w:t>
            </w:r>
          </w:p>
          <w:p w14:paraId="5B5F856C"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 xml:space="preserve">a) Vị trí 1 (Vị trí mặt tiền đường giao thông): Thửa đất có mặt tiền tiếp giáp các đường phố, đường giao thông </w:t>
            </w:r>
            <w:r w:rsidRPr="00E34160">
              <w:rPr>
                <w:rFonts w:ascii="Times New Roman" w:hAnsi="Times New Roman" w:cs="Times New Roman"/>
                <w:szCs w:val="28"/>
              </w:rPr>
              <w:lastRenderedPageBreak/>
              <w:t>chính trên địa bàn các phường, xã.</w:t>
            </w:r>
          </w:p>
          <w:p w14:paraId="7A8E6EE6"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b) Vị trí 2 (Vị trí còn lại): Thửa đất không tiếp giáp đường phố, đường giao thông chính.</w:t>
            </w:r>
          </w:p>
          <w:p w14:paraId="4541789F"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2. Phạm vi đất:</w:t>
            </w:r>
          </w:p>
          <w:p w14:paraId="7BBD4A65"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Đối với thửa đất phi nông nghiệp (không bao gồm đất khu công nghiệp, cụm công nghiệp) thuộc vị trí 1 được xác định theo 03 phạm vi tính từ HLATĐB, cụ thể như sau:</w:t>
            </w:r>
          </w:p>
          <w:p w14:paraId="27DBEE58"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 Từ mốc HLATĐB đến hết mét thứ 50: Tính bằng 100% giá đất vị trí của tuyến đường đó.</w:t>
            </w:r>
          </w:p>
          <w:p w14:paraId="3B535DF1"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 Từ sau mét thứ 50 đến hết mét thứ 100: Tính bằng 80% giá đất tại vị trí 1.</w:t>
            </w:r>
          </w:p>
          <w:p w14:paraId="0847B454"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 Từ sau mét thứ 100 đến hết chiều sâu thửa đất: Tính bằng 50% giá đất tại vị trí 1.</w:t>
            </w:r>
          </w:p>
          <w:p w14:paraId="41DDC2D2"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 xml:space="preserve">3. Trường hợp thửa đất có một phần hoặc toàn bộ diện tích nằm trong khoảng từ mép đường đến mốc HLATĐB, nếu đủ điều kiện để bồi </w:t>
            </w:r>
            <w:r w:rsidRPr="00E34160">
              <w:rPr>
                <w:rFonts w:ascii="Times New Roman" w:hAnsi="Times New Roman" w:cs="Times New Roman"/>
                <w:szCs w:val="28"/>
              </w:rPr>
              <w:lastRenderedPageBreak/>
              <w:t>thường, hoặc thực hiện nghĩa vụ tài chính theo quy định của pháp luật thì phần diện tích nằm trong khoảng từ mép đường đến HLATĐB được xác định cùng vị trí với thửa đất mặt tiền của tuyến đường đó. Trường hợp các tuyến đường không có quy định HLATĐB thì lấy theo mép đường hiện hữu theo bản đồ địa chính đã chỉnh lý mới nhất.</w:t>
            </w:r>
          </w:p>
          <w:p w14:paraId="7387D6FD" w14:textId="77777777" w:rsidR="00E34160" w:rsidRPr="00E34160" w:rsidRDefault="00E34160" w:rsidP="00E34160">
            <w:pPr>
              <w:spacing w:after="120"/>
              <w:ind w:firstLine="567"/>
              <w:jc w:val="both"/>
              <w:rPr>
                <w:rFonts w:ascii="Times New Roman" w:hAnsi="Times New Roman" w:cs="Times New Roman"/>
                <w:szCs w:val="28"/>
              </w:rPr>
            </w:pPr>
            <w:r w:rsidRPr="00E34160">
              <w:rPr>
                <w:rFonts w:ascii="Times New Roman" w:hAnsi="Times New Roman" w:cs="Times New Roman"/>
                <w:szCs w:val="28"/>
              </w:rPr>
              <w:t>4. Đối với đất khu công nghiệp, đất cụm công nghiệp tính một vị trí, phạm vi.</w:t>
            </w:r>
          </w:p>
          <w:p w14:paraId="489CBB8D" w14:textId="4BCE2FF7" w:rsidR="00E642D6" w:rsidRPr="00E34160" w:rsidRDefault="00E642D6" w:rsidP="00331C4E">
            <w:pPr>
              <w:spacing w:before="60" w:after="60"/>
              <w:ind w:left="127" w:right="137"/>
              <w:jc w:val="both"/>
              <w:rPr>
                <w:rFonts w:ascii="Times New Roman" w:hAnsi="Times New Roman" w:cs="Times New Roman"/>
                <w:b/>
                <w:bCs/>
                <w:color w:val="auto"/>
                <w:lang w:val="en-US"/>
              </w:rPr>
            </w:pPr>
          </w:p>
        </w:tc>
        <w:tc>
          <w:tcPr>
            <w:tcW w:w="734" w:type="pct"/>
            <w:shd w:val="clear" w:color="auto" w:fill="FFFFFF"/>
          </w:tcPr>
          <w:p w14:paraId="39C75EB2" w14:textId="77777777" w:rsidR="00E642D6" w:rsidRDefault="00B44867" w:rsidP="00E32218">
            <w:pPr>
              <w:spacing w:before="60" w:after="60"/>
              <w:ind w:right="41"/>
              <w:jc w:val="both"/>
              <w:rPr>
                <w:rFonts w:ascii="Times New Roman" w:hAnsi="Times New Roman" w:cs="Times New Roman"/>
                <w:bCs/>
                <w:color w:val="auto"/>
                <w:lang w:val="en-US"/>
              </w:rPr>
            </w:pPr>
            <w:r w:rsidRPr="00B44867">
              <w:rPr>
                <w:rFonts w:ascii="Times New Roman" w:hAnsi="Times New Roman" w:cs="Times New Roman"/>
                <w:b/>
                <w:color w:val="auto"/>
                <w:lang w:val="en-US"/>
              </w:rPr>
              <w:lastRenderedPageBreak/>
              <w:t>Về phân vị trí đất phi nông nghiệp:</w:t>
            </w:r>
            <w:r>
              <w:rPr>
                <w:rFonts w:ascii="Times New Roman" w:hAnsi="Times New Roman" w:cs="Times New Roman"/>
                <w:bCs/>
                <w:color w:val="auto"/>
                <w:lang w:val="en-US"/>
              </w:rPr>
              <w:t xml:space="preserve"> </w:t>
            </w:r>
            <w:r w:rsidR="00E642D6" w:rsidRPr="002E4239">
              <w:rPr>
                <w:rFonts w:ascii="Times New Roman" w:hAnsi="Times New Roman" w:cs="Times New Roman"/>
                <w:bCs/>
                <w:color w:val="auto"/>
                <w:lang w:val="en-US"/>
              </w:rPr>
              <w:t>Kế thừa nội dung</w:t>
            </w:r>
            <w:r>
              <w:rPr>
                <w:rFonts w:ascii="Times New Roman" w:hAnsi="Times New Roman" w:cs="Times New Roman"/>
                <w:bCs/>
                <w:color w:val="auto"/>
                <w:lang w:val="en-US"/>
              </w:rPr>
              <w:t xml:space="preserve"> tại</w:t>
            </w:r>
            <w:r w:rsidR="00E642D6" w:rsidRPr="002E4239">
              <w:rPr>
                <w:rFonts w:ascii="Times New Roman" w:hAnsi="Times New Roman" w:cs="Times New Roman"/>
                <w:bCs/>
                <w:color w:val="auto"/>
                <w:lang w:val="en-US"/>
              </w:rPr>
              <w:t xml:space="preserve"> </w:t>
            </w:r>
            <w:r w:rsidRPr="00B44867">
              <w:rPr>
                <w:rFonts w:ascii="Times New Roman" w:hAnsi="Times New Roman" w:cs="Times New Roman"/>
                <w:bCs/>
                <w:color w:val="auto"/>
                <w:shd w:val="clear" w:color="auto" w:fill="FFFFFF"/>
                <w:lang w:val="en-US"/>
              </w:rPr>
              <w:t xml:space="preserve">Khoản 3 Điều 1 </w:t>
            </w:r>
            <w:r w:rsidRPr="00B44867">
              <w:rPr>
                <w:rFonts w:ascii="Times New Roman" w:hAnsi="Times New Roman" w:cs="Times New Roman"/>
                <w:bCs/>
                <w:color w:val="auto"/>
                <w:lang w:val="en-US"/>
              </w:rPr>
              <w:t xml:space="preserve">Quyết định số </w:t>
            </w:r>
            <w:r w:rsidRPr="00B44867">
              <w:rPr>
                <w:rFonts w:ascii="Times New Roman" w:hAnsi="Times New Roman" w:cs="Times New Roman"/>
                <w:bCs/>
                <w:color w:val="auto"/>
              </w:rPr>
              <w:t>52/2024/QĐ-UBND</w:t>
            </w:r>
            <w:r w:rsidRPr="00B44867">
              <w:rPr>
                <w:rFonts w:ascii="Times New Roman" w:hAnsi="Times New Roman" w:cs="Times New Roman"/>
                <w:bCs/>
                <w:color w:val="auto"/>
                <w:lang w:val="en-US"/>
              </w:rPr>
              <w:t xml:space="preserve"> ngày 27/12/2024 của UBND tỉnh Bình Phước (cũ)</w:t>
            </w:r>
            <w:r>
              <w:rPr>
                <w:rFonts w:ascii="Times New Roman" w:hAnsi="Times New Roman" w:cs="Times New Roman"/>
                <w:bCs/>
                <w:color w:val="auto"/>
                <w:lang w:val="en-US"/>
              </w:rPr>
              <w:t xml:space="preserve"> </w:t>
            </w:r>
            <w:r w:rsidRPr="00B44867">
              <w:rPr>
                <w:rFonts w:ascii="Times New Roman" w:hAnsi="Times New Roman" w:cs="Times New Roman"/>
                <w:bCs/>
                <w:color w:val="auto"/>
                <w:lang w:val="en-US"/>
              </w:rPr>
              <w:t xml:space="preserve">và </w:t>
            </w:r>
            <w:r w:rsidRPr="00B44867">
              <w:rPr>
                <w:rFonts w:ascii="Times New Roman" w:hAnsi="Times New Roman" w:cs="Times New Roman"/>
                <w:bCs/>
                <w:color w:val="auto"/>
                <w:shd w:val="clear" w:color="auto" w:fill="FFFFFF"/>
                <w:lang w:val="en-US"/>
              </w:rPr>
              <w:t xml:space="preserve">Khoản 1 Điều 6 </w:t>
            </w:r>
            <w:r w:rsidRPr="00B44867">
              <w:rPr>
                <w:rFonts w:ascii="Times New Roman" w:hAnsi="Times New Roman" w:cs="Times New Roman"/>
                <w:bCs/>
                <w:color w:val="auto"/>
                <w:lang w:val="en-US"/>
              </w:rPr>
              <w:t xml:space="preserve">Quyết định </w:t>
            </w:r>
            <w:r w:rsidRPr="00B44867">
              <w:rPr>
                <w:rFonts w:ascii="Times New Roman" w:hAnsi="Times New Roman" w:cs="Times New Roman"/>
                <w:bCs/>
                <w:color w:val="auto"/>
              </w:rPr>
              <w:t>18/2020/QĐ-UBND</w:t>
            </w:r>
            <w:r w:rsidRPr="00B44867">
              <w:rPr>
                <w:rFonts w:ascii="Times New Roman" w:hAnsi="Times New Roman" w:cs="Times New Roman"/>
                <w:bCs/>
                <w:color w:val="auto"/>
                <w:lang w:val="en-US"/>
              </w:rPr>
              <w:t xml:space="preserve"> ngày 12/8/2020 của </w:t>
            </w:r>
            <w:r w:rsidRPr="00B44867">
              <w:rPr>
                <w:rFonts w:ascii="Times New Roman" w:hAnsi="Times New Roman" w:cs="Times New Roman"/>
                <w:bCs/>
                <w:color w:val="auto"/>
                <w:lang w:val="en-US"/>
              </w:rPr>
              <w:lastRenderedPageBreak/>
              <w:t>UBND tỉnh Bình Phước (cũ)</w:t>
            </w:r>
          </w:p>
          <w:p w14:paraId="207469B4" w14:textId="4708074E" w:rsidR="00B44867" w:rsidRDefault="00B44867" w:rsidP="00E32218">
            <w:pPr>
              <w:spacing w:before="60" w:after="60"/>
              <w:ind w:right="41"/>
              <w:jc w:val="both"/>
              <w:rPr>
                <w:rFonts w:ascii="Times New Roman" w:hAnsi="Times New Roman" w:cs="Times New Roman"/>
                <w:bCs/>
                <w:color w:val="auto"/>
                <w:lang w:val="en-US"/>
              </w:rPr>
            </w:pPr>
            <w:r w:rsidRPr="00B44867">
              <w:rPr>
                <w:rFonts w:ascii="Times New Roman" w:hAnsi="Times New Roman" w:cs="Times New Roman"/>
                <w:b/>
                <w:color w:val="auto"/>
                <w:lang w:val="en-US"/>
              </w:rPr>
              <w:t>Về phạm vi đất:</w:t>
            </w:r>
            <w:r>
              <w:rPr>
                <w:rFonts w:ascii="Times New Roman" w:hAnsi="Times New Roman" w:cs="Times New Roman"/>
                <w:b/>
                <w:color w:val="auto"/>
                <w:lang w:val="en-US"/>
              </w:rPr>
              <w:t xml:space="preserve"> </w:t>
            </w:r>
            <w:r w:rsidR="0015626D" w:rsidRPr="002E4239">
              <w:rPr>
                <w:rFonts w:ascii="Times New Roman" w:hAnsi="Times New Roman" w:cs="Times New Roman"/>
                <w:bCs/>
                <w:color w:val="auto"/>
                <w:lang w:val="en-US"/>
              </w:rPr>
              <w:t>Kế thừa nội dung</w:t>
            </w:r>
            <w:r w:rsidR="0015626D">
              <w:rPr>
                <w:rFonts w:ascii="Times New Roman" w:hAnsi="Times New Roman" w:cs="Times New Roman"/>
                <w:bCs/>
                <w:color w:val="auto"/>
                <w:lang w:val="en-US"/>
              </w:rPr>
              <w:t xml:space="preserve"> tại</w:t>
            </w:r>
            <w:r w:rsidR="0015626D" w:rsidRPr="002E4239">
              <w:rPr>
                <w:rFonts w:ascii="Times New Roman" w:hAnsi="Times New Roman" w:cs="Times New Roman"/>
                <w:bCs/>
                <w:color w:val="auto"/>
                <w:lang w:val="en-US"/>
              </w:rPr>
              <w:t xml:space="preserve"> </w:t>
            </w:r>
            <w:r w:rsidR="0015626D" w:rsidRPr="00B44867">
              <w:rPr>
                <w:rFonts w:ascii="Times New Roman" w:hAnsi="Times New Roman" w:cs="Times New Roman"/>
                <w:bCs/>
                <w:color w:val="auto"/>
                <w:shd w:val="clear" w:color="auto" w:fill="FFFFFF"/>
                <w:lang w:val="en-US"/>
              </w:rPr>
              <w:t xml:space="preserve">Khoản </w:t>
            </w:r>
            <w:r w:rsidR="0015626D" w:rsidRPr="0015626D">
              <w:rPr>
                <w:rFonts w:ascii="Times New Roman" w:hAnsi="Times New Roman" w:cs="Times New Roman"/>
                <w:bCs/>
                <w:color w:val="auto"/>
                <w:shd w:val="clear" w:color="auto" w:fill="FFFFFF"/>
                <w:lang w:val="en-US"/>
              </w:rPr>
              <w:t xml:space="preserve">4 </w:t>
            </w:r>
            <w:r w:rsidR="0015626D" w:rsidRPr="0015626D">
              <w:rPr>
                <w:rFonts w:ascii="Times New Roman" w:hAnsi="Times New Roman" w:cs="Times New Roman"/>
                <w:bCs/>
                <w:color w:val="auto"/>
                <w:lang w:val="en-US"/>
              </w:rPr>
              <w:t xml:space="preserve">Điều 7 Quyết định số </w:t>
            </w:r>
            <w:r w:rsidR="0015626D" w:rsidRPr="0015626D">
              <w:rPr>
                <w:rFonts w:ascii="Times New Roman" w:hAnsi="Times New Roman" w:cs="Times New Roman"/>
                <w:bCs/>
                <w:color w:val="auto"/>
              </w:rPr>
              <w:t>56/2022/QĐ-UBND</w:t>
            </w:r>
            <w:r w:rsidR="0015626D" w:rsidRPr="0015626D">
              <w:rPr>
                <w:rFonts w:ascii="Times New Roman" w:hAnsi="Times New Roman" w:cs="Times New Roman"/>
                <w:bCs/>
                <w:color w:val="auto"/>
                <w:lang w:val="en-US"/>
              </w:rPr>
              <w:t xml:space="preserve"> ngày 19/12/2022 của UBND tỉnh Đồng Nai (cũ)</w:t>
            </w:r>
            <w:r w:rsidR="00694F5D">
              <w:rPr>
                <w:rFonts w:ascii="Times New Roman" w:hAnsi="Times New Roman" w:cs="Times New Roman"/>
                <w:bCs/>
                <w:color w:val="auto"/>
                <w:lang w:val="en-US"/>
              </w:rPr>
              <w:t xml:space="preserve"> và đề xuất lấy </w:t>
            </w:r>
            <w:r w:rsidR="00694F5D" w:rsidRPr="00FD3D9D">
              <w:rPr>
                <w:rFonts w:ascii="Times New Roman" w:hAnsi="Times New Roman" w:cs="Times New Roman"/>
                <w:color w:val="auto"/>
                <w:lang w:val="en-US"/>
              </w:rPr>
              <w:t>HLATĐB</w:t>
            </w:r>
            <w:r w:rsidR="00694F5D">
              <w:rPr>
                <w:rFonts w:ascii="Times New Roman" w:hAnsi="Times New Roman" w:cs="Times New Roman"/>
                <w:color w:val="auto"/>
                <w:lang w:val="en-US"/>
              </w:rPr>
              <w:t xml:space="preserve"> làm mốc theo </w:t>
            </w:r>
            <w:r w:rsidR="00694F5D" w:rsidRPr="00694F5D">
              <w:rPr>
                <w:rFonts w:ascii="Times New Roman" w:hAnsi="Times New Roman" w:cs="Times New Roman"/>
                <w:bCs/>
                <w:color w:val="auto"/>
                <w:lang w:val="en-US"/>
              </w:rPr>
              <w:t xml:space="preserve">Quyết định số </w:t>
            </w:r>
            <w:r w:rsidR="00694F5D" w:rsidRPr="00694F5D">
              <w:rPr>
                <w:rFonts w:ascii="Times New Roman" w:hAnsi="Times New Roman" w:cs="Times New Roman"/>
                <w:bCs/>
                <w:color w:val="auto"/>
              </w:rPr>
              <w:t>52/2024/QĐ-UBND</w:t>
            </w:r>
            <w:r w:rsidR="00694F5D" w:rsidRPr="00694F5D">
              <w:rPr>
                <w:rFonts w:ascii="Times New Roman" w:hAnsi="Times New Roman" w:cs="Times New Roman"/>
                <w:bCs/>
                <w:color w:val="auto"/>
                <w:lang w:val="en-US"/>
              </w:rPr>
              <w:t xml:space="preserve"> ngày 27/12/2024 của UBND tỉnh Bình Phước (cũ)</w:t>
            </w:r>
            <w:r w:rsidR="00694F5D">
              <w:rPr>
                <w:rFonts w:ascii="Times New Roman" w:hAnsi="Times New Roman" w:cs="Times New Roman"/>
                <w:bCs/>
                <w:color w:val="auto"/>
                <w:lang w:val="en-US"/>
              </w:rPr>
              <w:t>.</w:t>
            </w:r>
          </w:p>
          <w:p w14:paraId="5902A6D8" w14:textId="77777777" w:rsidR="00694F5D" w:rsidRDefault="00694F5D" w:rsidP="00E32218">
            <w:pPr>
              <w:spacing w:before="60" w:after="60"/>
              <w:ind w:right="41"/>
              <w:jc w:val="both"/>
              <w:rPr>
                <w:rFonts w:ascii="Times New Roman" w:hAnsi="Times New Roman" w:cs="Times New Roman"/>
                <w:color w:val="auto"/>
                <w:lang w:val="en-US"/>
              </w:rPr>
            </w:pPr>
            <w:r w:rsidRPr="00331C4E">
              <w:rPr>
                <w:rFonts w:ascii="Times New Roman" w:hAnsi="Times New Roman" w:cs="Times New Roman"/>
                <w:b/>
                <w:bCs/>
                <w:color w:val="auto"/>
                <w:lang w:val="en-US"/>
              </w:rPr>
              <w:t>Trường hợp thửa đất có một phần hoặc toàn bộ diện tích nằm trong khoảng từ mép đường đến mốc HLATĐB</w:t>
            </w:r>
            <w:r>
              <w:rPr>
                <w:rFonts w:ascii="Times New Roman" w:hAnsi="Times New Roman" w:cs="Times New Roman"/>
                <w:b/>
                <w:bCs/>
                <w:color w:val="auto"/>
                <w:lang w:val="en-US"/>
              </w:rPr>
              <w:t xml:space="preserve">: </w:t>
            </w:r>
            <w:r w:rsidRPr="00694F5D">
              <w:rPr>
                <w:rFonts w:ascii="Times New Roman" w:hAnsi="Times New Roman" w:cs="Times New Roman"/>
                <w:color w:val="auto"/>
                <w:lang w:val="en-US"/>
              </w:rPr>
              <w:t xml:space="preserve">Kế thừa Khoản 5 Điều 7 Quyết định số </w:t>
            </w:r>
            <w:r w:rsidRPr="00694F5D">
              <w:rPr>
                <w:rFonts w:ascii="Times New Roman" w:hAnsi="Times New Roman" w:cs="Times New Roman"/>
                <w:color w:val="auto"/>
              </w:rPr>
              <w:t>56/2022/QĐ-UBND</w:t>
            </w:r>
            <w:r>
              <w:rPr>
                <w:rFonts w:ascii="Times New Roman" w:hAnsi="Times New Roman" w:cs="Times New Roman"/>
                <w:b/>
                <w:bCs/>
                <w:color w:val="auto"/>
                <w:lang w:val="en-US"/>
              </w:rPr>
              <w:t xml:space="preserve"> </w:t>
            </w:r>
            <w:r w:rsidRPr="00694F5D">
              <w:rPr>
                <w:rFonts w:ascii="Times New Roman" w:hAnsi="Times New Roman" w:cs="Times New Roman"/>
                <w:color w:val="auto"/>
                <w:lang w:val="en-US"/>
              </w:rPr>
              <w:t xml:space="preserve">ngày 19/12/2022 của UBND </w:t>
            </w:r>
            <w:r w:rsidRPr="00694F5D">
              <w:rPr>
                <w:rFonts w:ascii="Times New Roman" w:hAnsi="Times New Roman" w:cs="Times New Roman"/>
                <w:color w:val="auto"/>
                <w:lang w:val="en-US"/>
              </w:rPr>
              <w:lastRenderedPageBreak/>
              <w:t>tỉnh Đồng Nai (cũ)</w:t>
            </w:r>
            <w:r>
              <w:rPr>
                <w:rFonts w:ascii="Times New Roman" w:hAnsi="Times New Roman" w:cs="Times New Roman"/>
                <w:color w:val="auto"/>
                <w:lang w:val="en-US"/>
              </w:rPr>
              <w:t>.</w:t>
            </w:r>
          </w:p>
          <w:p w14:paraId="3FD3F11B" w14:textId="1AAB64BC" w:rsidR="00E34160" w:rsidRPr="00694F5D" w:rsidRDefault="00E34160" w:rsidP="00E32218">
            <w:pPr>
              <w:spacing w:before="60" w:after="60"/>
              <w:ind w:right="41"/>
              <w:jc w:val="both"/>
              <w:rPr>
                <w:rFonts w:ascii="Times New Roman" w:hAnsi="Times New Roman" w:cs="Times New Roman"/>
                <w:b/>
                <w:bCs/>
                <w:color w:val="auto"/>
                <w:lang w:val="en-US"/>
              </w:rPr>
            </w:pPr>
            <w:r>
              <w:rPr>
                <w:rFonts w:ascii="Times New Roman" w:hAnsi="Times New Roman" w:cs="Times New Roman"/>
                <w:color w:val="auto"/>
                <w:lang w:val="en-US"/>
              </w:rPr>
              <w:t>Riêng đối với đất khu công nghiệp, cụm công nghiệp thì xác định một vị trí, phạm vi.</w:t>
            </w:r>
          </w:p>
        </w:tc>
      </w:tr>
    </w:tbl>
    <w:p w14:paraId="59796268" w14:textId="77777777" w:rsidR="001F3C76" w:rsidRPr="002E4239" w:rsidRDefault="001F3C76">
      <w:pPr>
        <w:rPr>
          <w:rFonts w:ascii="Times New Roman" w:hAnsi="Times New Roman" w:cs="Times New Roman"/>
          <w:color w:val="auto"/>
          <w:sz w:val="28"/>
          <w:szCs w:val="28"/>
        </w:rPr>
      </w:pPr>
      <w:bookmarkStart w:id="4" w:name="_GoBack"/>
      <w:bookmarkEnd w:id="4"/>
    </w:p>
    <w:p w14:paraId="20C10BB8" w14:textId="77777777" w:rsidR="004D491E" w:rsidRPr="002E4239" w:rsidRDefault="004D491E">
      <w:pPr>
        <w:rPr>
          <w:rFonts w:ascii="Times New Roman" w:hAnsi="Times New Roman" w:cs="Times New Roman"/>
          <w:color w:val="auto"/>
          <w:sz w:val="28"/>
          <w:szCs w:val="28"/>
        </w:rPr>
      </w:pPr>
    </w:p>
    <w:sectPr w:rsidR="004D491E" w:rsidRPr="002E4239" w:rsidSect="00E642D6">
      <w:headerReference w:type="even" r:id="rId10"/>
      <w:headerReference w:type="default" r:id="rId11"/>
      <w:pgSz w:w="16840" w:h="11907" w:orient="landscape" w:code="9"/>
      <w:pgMar w:top="1138" w:right="432" w:bottom="1138" w:left="72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17501" w14:textId="77777777" w:rsidR="00340C9E" w:rsidRDefault="00340C9E" w:rsidP="00807F59">
      <w:r>
        <w:separator/>
      </w:r>
    </w:p>
  </w:endnote>
  <w:endnote w:type="continuationSeparator" w:id="0">
    <w:p w14:paraId="2837C42B" w14:textId="77777777" w:rsidR="00340C9E" w:rsidRDefault="00340C9E" w:rsidP="0080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2DC3" w14:textId="77777777" w:rsidR="00340C9E" w:rsidRDefault="00340C9E" w:rsidP="00807F59">
      <w:r>
        <w:separator/>
      </w:r>
    </w:p>
  </w:footnote>
  <w:footnote w:type="continuationSeparator" w:id="0">
    <w:p w14:paraId="27C57A51" w14:textId="77777777" w:rsidR="00340C9E" w:rsidRDefault="00340C9E" w:rsidP="00807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F937" w14:textId="77777777" w:rsidR="00352D02" w:rsidRDefault="00352D0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95295282"/>
      <w:docPartObj>
        <w:docPartGallery w:val="Page Numbers (Top of Page)"/>
        <w:docPartUnique/>
      </w:docPartObj>
    </w:sdtPr>
    <w:sdtEndPr/>
    <w:sdtContent>
      <w:p w14:paraId="2E522911" w14:textId="77777777" w:rsidR="00352D02" w:rsidRDefault="00352D02">
        <w:pPr>
          <w:pStyle w:val="Header"/>
          <w:jc w:val="center"/>
          <w:rPr>
            <w:lang w:val="en-US"/>
          </w:rPr>
        </w:pPr>
      </w:p>
      <w:p w14:paraId="20FE3A62" w14:textId="2B075247" w:rsidR="00352D02" w:rsidRDefault="005769D0">
        <w:pPr>
          <w:pStyle w:val="Header"/>
          <w:jc w:val="center"/>
        </w:pPr>
        <w:r w:rsidRPr="008F2F98">
          <w:rPr>
            <w:rFonts w:ascii="Times New Roman" w:hAnsi="Times New Roman" w:cs="Times New Roman"/>
          </w:rPr>
          <w:fldChar w:fldCharType="begin"/>
        </w:r>
        <w:r w:rsidR="00352D02"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EE5F11">
          <w:rPr>
            <w:rFonts w:ascii="Times New Roman" w:hAnsi="Times New Roman" w:cs="Times New Roman"/>
            <w:noProof/>
          </w:rPr>
          <w:t>6</w:t>
        </w:r>
        <w:r w:rsidRPr="008F2F98">
          <w:rPr>
            <w:rFonts w:ascii="Times New Roman" w:hAnsi="Times New Roman" w:cs="Times New Roman"/>
          </w:rPr>
          <w:fldChar w:fldCharType="end"/>
        </w:r>
      </w:p>
    </w:sdtContent>
  </w:sdt>
  <w:p w14:paraId="541286D6" w14:textId="77777777" w:rsidR="00352D02" w:rsidRDefault="00352D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4F2A"/>
    <w:rsid w:val="00001A6E"/>
    <w:rsid w:val="00001D64"/>
    <w:rsid w:val="000026DA"/>
    <w:rsid w:val="00010234"/>
    <w:rsid w:val="000114FE"/>
    <w:rsid w:val="00011830"/>
    <w:rsid w:val="0001344D"/>
    <w:rsid w:val="00014EFD"/>
    <w:rsid w:val="000152EC"/>
    <w:rsid w:val="00015699"/>
    <w:rsid w:val="00016C43"/>
    <w:rsid w:val="000231D7"/>
    <w:rsid w:val="00024CF7"/>
    <w:rsid w:val="0003042D"/>
    <w:rsid w:val="00032FC4"/>
    <w:rsid w:val="00035A69"/>
    <w:rsid w:val="00036DA9"/>
    <w:rsid w:val="0003753D"/>
    <w:rsid w:val="00041277"/>
    <w:rsid w:val="000448E5"/>
    <w:rsid w:val="00045949"/>
    <w:rsid w:val="000460AC"/>
    <w:rsid w:val="000510D0"/>
    <w:rsid w:val="0005148C"/>
    <w:rsid w:val="000516B3"/>
    <w:rsid w:val="0005633C"/>
    <w:rsid w:val="00066132"/>
    <w:rsid w:val="00071A5C"/>
    <w:rsid w:val="00072A7A"/>
    <w:rsid w:val="00073192"/>
    <w:rsid w:val="0008157E"/>
    <w:rsid w:val="0008178F"/>
    <w:rsid w:val="000826DB"/>
    <w:rsid w:val="0008451F"/>
    <w:rsid w:val="000850BD"/>
    <w:rsid w:val="000863B7"/>
    <w:rsid w:val="00086AC1"/>
    <w:rsid w:val="00087256"/>
    <w:rsid w:val="000873E0"/>
    <w:rsid w:val="00090874"/>
    <w:rsid w:val="000908B8"/>
    <w:rsid w:val="00091A8D"/>
    <w:rsid w:val="00092E32"/>
    <w:rsid w:val="000938F4"/>
    <w:rsid w:val="000A00BB"/>
    <w:rsid w:val="000A1547"/>
    <w:rsid w:val="000A2449"/>
    <w:rsid w:val="000A2B9F"/>
    <w:rsid w:val="000A350F"/>
    <w:rsid w:val="000A48A4"/>
    <w:rsid w:val="000A510B"/>
    <w:rsid w:val="000A5904"/>
    <w:rsid w:val="000A7D47"/>
    <w:rsid w:val="000B04C9"/>
    <w:rsid w:val="000B05CF"/>
    <w:rsid w:val="000B0C12"/>
    <w:rsid w:val="000B1E61"/>
    <w:rsid w:val="000B3820"/>
    <w:rsid w:val="000B3858"/>
    <w:rsid w:val="000B4944"/>
    <w:rsid w:val="000B4ED6"/>
    <w:rsid w:val="000B590A"/>
    <w:rsid w:val="000B6866"/>
    <w:rsid w:val="000B71E6"/>
    <w:rsid w:val="000C12F2"/>
    <w:rsid w:val="000C2FF3"/>
    <w:rsid w:val="000C54B7"/>
    <w:rsid w:val="000C6A0E"/>
    <w:rsid w:val="000D343F"/>
    <w:rsid w:val="000D552B"/>
    <w:rsid w:val="000D6E2E"/>
    <w:rsid w:val="000D74E4"/>
    <w:rsid w:val="000E3B8B"/>
    <w:rsid w:val="000E4BC7"/>
    <w:rsid w:val="000E6BE5"/>
    <w:rsid w:val="000F1558"/>
    <w:rsid w:val="000F1731"/>
    <w:rsid w:val="000F5535"/>
    <w:rsid w:val="0010050E"/>
    <w:rsid w:val="00100F3A"/>
    <w:rsid w:val="00103C18"/>
    <w:rsid w:val="001067F9"/>
    <w:rsid w:val="00107524"/>
    <w:rsid w:val="00110237"/>
    <w:rsid w:val="001116FA"/>
    <w:rsid w:val="00113F8D"/>
    <w:rsid w:val="00115C31"/>
    <w:rsid w:val="00116779"/>
    <w:rsid w:val="00120608"/>
    <w:rsid w:val="001270D1"/>
    <w:rsid w:val="00127807"/>
    <w:rsid w:val="001306D2"/>
    <w:rsid w:val="0013449B"/>
    <w:rsid w:val="00135205"/>
    <w:rsid w:val="00135D4C"/>
    <w:rsid w:val="00136B42"/>
    <w:rsid w:val="001403D9"/>
    <w:rsid w:val="0014052A"/>
    <w:rsid w:val="00140731"/>
    <w:rsid w:val="001408CF"/>
    <w:rsid w:val="0014130A"/>
    <w:rsid w:val="00144E2E"/>
    <w:rsid w:val="00152042"/>
    <w:rsid w:val="00152690"/>
    <w:rsid w:val="0015416F"/>
    <w:rsid w:val="00154498"/>
    <w:rsid w:val="00155134"/>
    <w:rsid w:val="0015626D"/>
    <w:rsid w:val="001621A2"/>
    <w:rsid w:val="001624FB"/>
    <w:rsid w:val="00163657"/>
    <w:rsid w:val="00163ECD"/>
    <w:rsid w:val="00164B1C"/>
    <w:rsid w:val="001659D5"/>
    <w:rsid w:val="001665E2"/>
    <w:rsid w:val="00173657"/>
    <w:rsid w:val="00175173"/>
    <w:rsid w:val="001768DB"/>
    <w:rsid w:val="001800D0"/>
    <w:rsid w:val="00183A7B"/>
    <w:rsid w:val="0018614D"/>
    <w:rsid w:val="001876C6"/>
    <w:rsid w:val="00187DB0"/>
    <w:rsid w:val="00192F46"/>
    <w:rsid w:val="0019318A"/>
    <w:rsid w:val="00194AB7"/>
    <w:rsid w:val="00195A7E"/>
    <w:rsid w:val="001A205D"/>
    <w:rsid w:val="001A241A"/>
    <w:rsid w:val="001A4852"/>
    <w:rsid w:val="001A6027"/>
    <w:rsid w:val="001B05B6"/>
    <w:rsid w:val="001B25E6"/>
    <w:rsid w:val="001B7899"/>
    <w:rsid w:val="001B7D10"/>
    <w:rsid w:val="001B7FEE"/>
    <w:rsid w:val="001C02F2"/>
    <w:rsid w:val="001C147D"/>
    <w:rsid w:val="001C2C1F"/>
    <w:rsid w:val="001C32D0"/>
    <w:rsid w:val="001C3B5D"/>
    <w:rsid w:val="001D05B6"/>
    <w:rsid w:val="001D137E"/>
    <w:rsid w:val="001D1E25"/>
    <w:rsid w:val="001D246D"/>
    <w:rsid w:val="001D6922"/>
    <w:rsid w:val="001D7807"/>
    <w:rsid w:val="001E3244"/>
    <w:rsid w:val="001E3F8F"/>
    <w:rsid w:val="001E4F55"/>
    <w:rsid w:val="001E5F92"/>
    <w:rsid w:val="001E6580"/>
    <w:rsid w:val="001E678C"/>
    <w:rsid w:val="001F3C76"/>
    <w:rsid w:val="001F484D"/>
    <w:rsid w:val="001F5CC0"/>
    <w:rsid w:val="001F696C"/>
    <w:rsid w:val="001F7B04"/>
    <w:rsid w:val="00200B70"/>
    <w:rsid w:val="00200CAB"/>
    <w:rsid w:val="00202836"/>
    <w:rsid w:val="0020526D"/>
    <w:rsid w:val="00215346"/>
    <w:rsid w:val="00216143"/>
    <w:rsid w:val="00220202"/>
    <w:rsid w:val="00223088"/>
    <w:rsid w:val="00224126"/>
    <w:rsid w:val="002255F6"/>
    <w:rsid w:val="00226958"/>
    <w:rsid w:val="002336BD"/>
    <w:rsid w:val="00235E21"/>
    <w:rsid w:val="002403D9"/>
    <w:rsid w:val="00240796"/>
    <w:rsid w:val="00240869"/>
    <w:rsid w:val="00242E99"/>
    <w:rsid w:val="00243FA5"/>
    <w:rsid w:val="00245F82"/>
    <w:rsid w:val="00246C4E"/>
    <w:rsid w:val="00247E5E"/>
    <w:rsid w:val="002506CB"/>
    <w:rsid w:val="00254D2F"/>
    <w:rsid w:val="00255078"/>
    <w:rsid w:val="00255BE0"/>
    <w:rsid w:val="00255DFB"/>
    <w:rsid w:val="0025678D"/>
    <w:rsid w:val="00260003"/>
    <w:rsid w:val="0026138B"/>
    <w:rsid w:val="00261DF4"/>
    <w:rsid w:val="002627EB"/>
    <w:rsid w:val="00265445"/>
    <w:rsid w:val="002660EB"/>
    <w:rsid w:val="00266FC2"/>
    <w:rsid w:val="00270F12"/>
    <w:rsid w:val="002711AB"/>
    <w:rsid w:val="0027365C"/>
    <w:rsid w:val="00275DD0"/>
    <w:rsid w:val="002801F1"/>
    <w:rsid w:val="00281F79"/>
    <w:rsid w:val="00283612"/>
    <w:rsid w:val="00284400"/>
    <w:rsid w:val="00285864"/>
    <w:rsid w:val="0028662F"/>
    <w:rsid w:val="0028664D"/>
    <w:rsid w:val="002904A3"/>
    <w:rsid w:val="00291C3C"/>
    <w:rsid w:val="00291F04"/>
    <w:rsid w:val="00293A67"/>
    <w:rsid w:val="00294D65"/>
    <w:rsid w:val="002960EF"/>
    <w:rsid w:val="002A167E"/>
    <w:rsid w:val="002A18A4"/>
    <w:rsid w:val="002A42BA"/>
    <w:rsid w:val="002A5F24"/>
    <w:rsid w:val="002B151E"/>
    <w:rsid w:val="002B2D72"/>
    <w:rsid w:val="002B33AF"/>
    <w:rsid w:val="002B3FFF"/>
    <w:rsid w:val="002B45CD"/>
    <w:rsid w:val="002C0D81"/>
    <w:rsid w:val="002C63E9"/>
    <w:rsid w:val="002D06C5"/>
    <w:rsid w:val="002D3F38"/>
    <w:rsid w:val="002D4B92"/>
    <w:rsid w:val="002D6A0C"/>
    <w:rsid w:val="002E23CC"/>
    <w:rsid w:val="002E4239"/>
    <w:rsid w:val="002E4789"/>
    <w:rsid w:val="002F179F"/>
    <w:rsid w:val="002F1B1D"/>
    <w:rsid w:val="002F26EE"/>
    <w:rsid w:val="002F3218"/>
    <w:rsid w:val="002F716D"/>
    <w:rsid w:val="00300A4E"/>
    <w:rsid w:val="00302705"/>
    <w:rsid w:val="003048CC"/>
    <w:rsid w:val="003108E4"/>
    <w:rsid w:val="00313042"/>
    <w:rsid w:val="003132CB"/>
    <w:rsid w:val="00313BE8"/>
    <w:rsid w:val="003156AA"/>
    <w:rsid w:val="003219E0"/>
    <w:rsid w:val="003227F5"/>
    <w:rsid w:val="0032751C"/>
    <w:rsid w:val="00330F83"/>
    <w:rsid w:val="00331C4E"/>
    <w:rsid w:val="00332D00"/>
    <w:rsid w:val="00333444"/>
    <w:rsid w:val="0033378A"/>
    <w:rsid w:val="0033531B"/>
    <w:rsid w:val="00337108"/>
    <w:rsid w:val="003401D2"/>
    <w:rsid w:val="00340993"/>
    <w:rsid w:val="00340C9E"/>
    <w:rsid w:val="00344AEA"/>
    <w:rsid w:val="003467D6"/>
    <w:rsid w:val="00347946"/>
    <w:rsid w:val="0035029D"/>
    <w:rsid w:val="00352D02"/>
    <w:rsid w:val="00353F17"/>
    <w:rsid w:val="0035439F"/>
    <w:rsid w:val="0035766D"/>
    <w:rsid w:val="00361492"/>
    <w:rsid w:val="00362B1D"/>
    <w:rsid w:val="0036616F"/>
    <w:rsid w:val="00366B0C"/>
    <w:rsid w:val="00373BE4"/>
    <w:rsid w:val="003747EF"/>
    <w:rsid w:val="00381AC4"/>
    <w:rsid w:val="00381DFA"/>
    <w:rsid w:val="00384E7C"/>
    <w:rsid w:val="0038549D"/>
    <w:rsid w:val="0038602B"/>
    <w:rsid w:val="003868FA"/>
    <w:rsid w:val="00387256"/>
    <w:rsid w:val="003900A4"/>
    <w:rsid w:val="00392ADA"/>
    <w:rsid w:val="00394220"/>
    <w:rsid w:val="00395562"/>
    <w:rsid w:val="00395780"/>
    <w:rsid w:val="003962C8"/>
    <w:rsid w:val="00397DE8"/>
    <w:rsid w:val="003A1D44"/>
    <w:rsid w:val="003A2776"/>
    <w:rsid w:val="003A278D"/>
    <w:rsid w:val="003A3331"/>
    <w:rsid w:val="003A4F9D"/>
    <w:rsid w:val="003A677A"/>
    <w:rsid w:val="003B0650"/>
    <w:rsid w:val="003B07D3"/>
    <w:rsid w:val="003B0989"/>
    <w:rsid w:val="003B0A6F"/>
    <w:rsid w:val="003B15DD"/>
    <w:rsid w:val="003B1B1B"/>
    <w:rsid w:val="003B27C2"/>
    <w:rsid w:val="003B295F"/>
    <w:rsid w:val="003B3224"/>
    <w:rsid w:val="003C086F"/>
    <w:rsid w:val="003C0DB4"/>
    <w:rsid w:val="003C5504"/>
    <w:rsid w:val="003C7A32"/>
    <w:rsid w:val="003C7E2A"/>
    <w:rsid w:val="003D2EFA"/>
    <w:rsid w:val="003D7B1A"/>
    <w:rsid w:val="003E1BA3"/>
    <w:rsid w:val="003E212D"/>
    <w:rsid w:val="003E3FB7"/>
    <w:rsid w:val="003E4A0E"/>
    <w:rsid w:val="003E6FA4"/>
    <w:rsid w:val="003E74E6"/>
    <w:rsid w:val="003F0A9A"/>
    <w:rsid w:val="003F196B"/>
    <w:rsid w:val="003F390B"/>
    <w:rsid w:val="003F6801"/>
    <w:rsid w:val="00400CFF"/>
    <w:rsid w:val="00402FD0"/>
    <w:rsid w:val="00404522"/>
    <w:rsid w:val="00404FBF"/>
    <w:rsid w:val="00406EED"/>
    <w:rsid w:val="004106D0"/>
    <w:rsid w:val="00411F3F"/>
    <w:rsid w:val="00412CDC"/>
    <w:rsid w:val="00415360"/>
    <w:rsid w:val="004178B6"/>
    <w:rsid w:val="004235D4"/>
    <w:rsid w:val="00425EAF"/>
    <w:rsid w:val="00431C09"/>
    <w:rsid w:val="00434BB1"/>
    <w:rsid w:val="0043543B"/>
    <w:rsid w:val="00436823"/>
    <w:rsid w:val="00437411"/>
    <w:rsid w:val="00437568"/>
    <w:rsid w:val="00442131"/>
    <w:rsid w:val="00443477"/>
    <w:rsid w:val="0044444C"/>
    <w:rsid w:val="00444FA9"/>
    <w:rsid w:val="00445939"/>
    <w:rsid w:val="00446BEF"/>
    <w:rsid w:val="00447475"/>
    <w:rsid w:val="00447C8D"/>
    <w:rsid w:val="004510FF"/>
    <w:rsid w:val="004511D0"/>
    <w:rsid w:val="004532B9"/>
    <w:rsid w:val="00457B03"/>
    <w:rsid w:val="00457FCE"/>
    <w:rsid w:val="004604E7"/>
    <w:rsid w:val="00461B3C"/>
    <w:rsid w:val="00462217"/>
    <w:rsid w:val="00465B8B"/>
    <w:rsid w:val="00466DAB"/>
    <w:rsid w:val="00470157"/>
    <w:rsid w:val="0047115F"/>
    <w:rsid w:val="00472099"/>
    <w:rsid w:val="00474BB1"/>
    <w:rsid w:val="00475FA1"/>
    <w:rsid w:val="00477512"/>
    <w:rsid w:val="004777FE"/>
    <w:rsid w:val="00480803"/>
    <w:rsid w:val="00482EC8"/>
    <w:rsid w:val="00484611"/>
    <w:rsid w:val="00485082"/>
    <w:rsid w:val="004853DE"/>
    <w:rsid w:val="00486FD4"/>
    <w:rsid w:val="00490718"/>
    <w:rsid w:val="004917C5"/>
    <w:rsid w:val="00493109"/>
    <w:rsid w:val="00495546"/>
    <w:rsid w:val="004966B8"/>
    <w:rsid w:val="004A13C9"/>
    <w:rsid w:val="004A7881"/>
    <w:rsid w:val="004A7D77"/>
    <w:rsid w:val="004B18BB"/>
    <w:rsid w:val="004B2EAF"/>
    <w:rsid w:val="004B4B96"/>
    <w:rsid w:val="004B4D1C"/>
    <w:rsid w:val="004C0040"/>
    <w:rsid w:val="004C0915"/>
    <w:rsid w:val="004C09E3"/>
    <w:rsid w:val="004C34CB"/>
    <w:rsid w:val="004C416F"/>
    <w:rsid w:val="004C67B8"/>
    <w:rsid w:val="004C6DEC"/>
    <w:rsid w:val="004C7409"/>
    <w:rsid w:val="004C7AA4"/>
    <w:rsid w:val="004D3813"/>
    <w:rsid w:val="004D491E"/>
    <w:rsid w:val="004D6012"/>
    <w:rsid w:val="004D73C1"/>
    <w:rsid w:val="004D7C99"/>
    <w:rsid w:val="004E0788"/>
    <w:rsid w:val="004E1248"/>
    <w:rsid w:val="004E1466"/>
    <w:rsid w:val="004E3C52"/>
    <w:rsid w:val="004E3F7D"/>
    <w:rsid w:val="004F1A2D"/>
    <w:rsid w:val="004F3637"/>
    <w:rsid w:val="004F3D91"/>
    <w:rsid w:val="004F45AD"/>
    <w:rsid w:val="004F6FDF"/>
    <w:rsid w:val="00500C07"/>
    <w:rsid w:val="00501248"/>
    <w:rsid w:val="00505E47"/>
    <w:rsid w:val="005078F8"/>
    <w:rsid w:val="005107E5"/>
    <w:rsid w:val="0051685A"/>
    <w:rsid w:val="00517408"/>
    <w:rsid w:val="00517F13"/>
    <w:rsid w:val="00521965"/>
    <w:rsid w:val="0052270D"/>
    <w:rsid w:val="00523478"/>
    <w:rsid w:val="00526887"/>
    <w:rsid w:val="00535DBB"/>
    <w:rsid w:val="00536ADE"/>
    <w:rsid w:val="0053723D"/>
    <w:rsid w:val="005424A2"/>
    <w:rsid w:val="00542FE4"/>
    <w:rsid w:val="00544FF4"/>
    <w:rsid w:val="005454AE"/>
    <w:rsid w:val="0054591C"/>
    <w:rsid w:val="00545ED1"/>
    <w:rsid w:val="00546655"/>
    <w:rsid w:val="00546DAD"/>
    <w:rsid w:val="00550A11"/>
    <w:rsid w:val="005546EF"/>
    <w:rsid w:val="00556604"/>
    <w:rsid w:val="00561D57"/>
    <w:rsid w:val="0056213A"/>
    <w:rsid w:val="00563D86"/>
    <w:rsid w:val="0056444B"/>
    <w:rsid w:val="00564E4D"/>
    <w:rsid w:val="00565F1D"/>
    <w:rsid w:val="00566EDB"/>
    <w:rsid w:val="00570A31"/>
    <w:rsid w:val="00571F5B"/>
    <w:rsid w:val="005726F2"/>
    <w:rsid w:val="00573324"/>
    <w:rsid w:val="00573FD9"/>
    <w:rsid w:val="00574632"/>
    <w:rsid w:val="00576490"/>
    <w:rsid w:val="00576650"/>
    <w:rsid w:val="005769D0"/>
    <w:rsid w:val="00580047"/>
    <w:rsid w:val="00584B6B"/>
    <w:rsid w:val="00590EB2"/>
    <w:rsid w:val="005929B4"/>
    <w:rsid w:val="00592B0E"/>
    <w:rsid w:val="0059386E"/>
    <w:rsid w:val="0059548B"/>
    <w:rsid w:val="00595828"/>
    <w:rsid w:val="005A1AD2"/>
    <w:rsid w:val="005A23DB"/>
    <w:rsid w:val="005A4D27"/>
    <w:rsid w:val="005B313D"/>
    <w:rsid w:val="005B71FD"/>
    <w:rsid w:val="005B7ACE"/>
    <w:rsid w:val="005C428F"/>
    <w:rsid w:val="005C42A1"/>
    <w:rsid w:val="005C46BA"/>
    <w:rsid w:val="005C54C9"/>
    <w:rsid w:val="005C58B1"/>
    <w:rsid w:val="005C6577"/>
    <w:rsid w:val="005C66B8"/>
    <w:rsid w:val="005D17F3"/>
    <w:rsid w:val="005D2474"/>
    <w:rsid w:val="005D4924"/>
    <w:rsid w:val="005D4A60"/>
    <w:rsid w:val="005D4A63"/>
    <w:rsid w:val="005E29C2"/>
    <w:rsid w:val="005E3DC2"/>
    <w:rsid w:val="005E7FAF"/>
    <w:rsid w:val="005F2D82"/>
    <w:rsid w:val="005F62AB"/>
    <w:rsid w:val="005F6380"/>
    <w:rsid w:val="005F74E6"/>
    <w:rsid w:val="00601107"/>
    <w:rsid w:val="00603C85"/>
    <w:rsid w:val="00604316"/>
    <w:rsid w:val="00604D89"/>
    <w:rsid w:val="00611BCF"/>
    <w:rsid w:val="00613A1E"/>
    <w:rsid w:val="00616BFF"/>
    <w:rsid w:val="00617257"/>
    <w:rsid w:val="00622B84"/>
    <w:rsid w:val="00626279"/>
    <w:rsid w:val="00631CC0"/>
    <w:rsid w:val="00632243"/>
    <w:rsid w:val="00634788"/>
    <w:rsid w:val="0063493F"/>
    <w:rsid w:val="00635ADF"/>
    <w:rsid w:val="00635C80"/>
    <w:rsid w:val="00636A8F"/>
    <w:rsid w:val="00636F3C"/>
    <w:rsid w:val="006410AB"/>
    <w:rsid w:val="006423C1"/>
    <w:rsid w:val="00643745"/>
    <w:rsid w:val="00645221"/>
    <w:rsid w:val="00645303"/>
    <w:rsid w:val="006466F5"/>
    <w:rsid w:val="006474D0"/>
    <w:rsid w:val="00651EA7"/>
    <w:rsid w:val="00652454"/>
    <w:rsid w:val="00654B5B"/>
    <w:rsid w:val="00657AD6"/>
    <w:rsid w:val="00660819"/>
    <w:rsid w:val="00663246"/>
    <w:rsid w:val="00663DF0"/>
    <w:rsid w:val="00664086"/>
    <w:rsid w:val="006644F6"/>
    <w:rsid w:val="00665130"/>
    <w:rsid w:val="00670493"/>
    <w:rsid w:val="0067164A"/>
    <w:rsid w:val="0067616E"/>
    <w:rsid w:val="006806DE"/>
    <w:rsid w:val="0068127F"/>
    <w:rsid w:val="006847A2"/>
    <w:rsid w:val="0069043B"/>
    <w:rsid w:val="00690C42"/>
    <w:rsid w:val="006912B0"/>
    <w:rsid w:val="00692A11"/>
    <w:rsid w:val="00694F5D"/>
    <w:rsid w:val="00696F7E"/>
    <w:rsid w:val="006A0C76"/>
    <w:rsid w:val="006A31B3"/>
    <w:rsid w:val="006A3CD2"/>
    <w:rsid w:val="006A57DF"/>
    <w:rsid w:val="006B1AAF"/>
    <w:rsid w:val="006B2A46"/>
    <w:rsid w:val="006B6BDA"/>
    <w:rsid w:val="006B7604"/>
    <w:rsid w:val="006B7DD3"/>
    <w:rsid w:val="006B7DFB"/>
    <w:rsid w:val="006C2F70"/>
    <w:rsid w:val="006C67D1"/>
    <w:rsid w:val="006D02C7"/>
    <w:rsid w:val="006D0F3B"/>
    <w:rsid w:val="006D402F"/>
    <w:rsid w:val="006D4C68"/>
    <w:rsid w:val="006D5F37"/>
    <w:rsid w:val="006D7D2F"/>
    <w:rsid w:val="006E0C2B"/>
    <w:rsid w:val="006E0CAD"/>
    <w:rsid w:val="006E1F8F"/>
    <w:rsid w:val="006E1FC1"/>
    <w:rsid w:val="006E49A2"/>
    <w:rsid w:val="006E58AA"/>
    <w:rsid w:val="006F0698"/>
    <w:rsid w:val="006F1A4D"/>
    <w:rsid w:val="006F1F68"/>
    <w:rsid w:val="006F4C56"/>
    <w:rsid w:val="006F4D9E"/>
    <w:rsid w:val="006F545B"/>
    <w:rsid w:val="006F57E9"/>
    <w:rsid w:val="006F6646"/>
    <w:rsid w:val="007001B6"/>
    <w:rsid w:val="00701BEA"/>
    <w:rsid w:val="00701EF1"/>
    <w:rsid w:val="0070256F"/>
    <w:rsid w:val="007031C4"/>
    <w:rsid w:val="00703C7B"/>
    <w:rsid w:val="00712470"/>
    <w:rsid w:val="00713E8D"/>
    <w:rsid w:val="007157A3"/>
    <w:rsid w:val="00720F81"/>
    <w:rsid w:val="0072372A"/>
    <w:rsid w:val="0072403C"/>
    <w:rsid w:val="007241FD"/>
    <w:rsid w:val="00725618"/>
    <w:rsid w:val="00727602"/>
    <w:rsid w:val="007277D7"/>
    <w:rsid w:val="00727FF2"/>
    <w:rsid w:val="007332E3"/>
    <w:rsid w:val="007342A4"/>
    <w:rsid w:val="00740DC3"/>
    <w:rsid w:val="00743373"/>
    <w:rsid w:val="00743745"/>
    <w:rsid w:val="00745D3A"/>
    <w:rsid w:val="007461EA"/>
    <w:rsid w:val="00747BB1"/>
    <w:rsid w:val="00750066"/>
    <w:rsid w:val="00750FD1"/>
    <w:rsid w:val="00754C1B"/>
    <w:rsid w:val="00756649"/>
    <w:rsid w:val="00756C16"/>
    <w:rsid w:val="00757DD2"/>
    <w:rsid w:val="007614F8"/>
    <w:rsid w:val="00761913"/>
    <w:rsid w:val="00761AEA"/>
    <w:rsid w:val="00765601"/>
    <w:rsid w:val="0076560E"/>
    <w:rsid w:val="007811A2"/>
    <w:rsid w:val="0078294B"/>
    <w:rsid w:val="00793971"/>
    <w:rsid w:val="0079488A"/>
    <w:rsid w:val="007953B5"/>
    <w:rsid w:val="0079758B"/>
    <w:rsid w:val="007A0C4C"/>
    <w:rsid w:val="007A0DA6"/>
    <w:rsid w:val="007A1032"/>
    <w:rsid w:val="007A10DF"/>
    <w:rsid w:val="007A1DD1"/>
    <w:rsid w:val="007A45EA"/>
    <w:rsid w:val="007A4E00"/>
    <w:rsid w:val="007A5220"/>
    <w:rsid w:val="007A559B"/>
    <w:rsid w:val="007A72E9"/>
    <w:rsid w:val="007B0CD9"/>
    <w:rsid w:val="007C3D5B"/>
    <w:rsid w:val="007C4E6C"/>
    <w:rsid w:val="007C5CAB"/>
    <w:rsid w:val="007C5E97"/>
    <w:rsid w:val="007C6919"/>
    <w:rsid w:val="007D0CC3"/>
    <w:rsid w:val="007D0F45"/>
    <w:rsid w:val="007D1E76"/>
    <w:rsid w:val="007D7979"/>
    <w:rsid w:val="007E4572"/>
    <w:rsid w:val="007E5925"/>
    <w:rsid w:val="007E64E9"/>
    <w:rsid w:val="007F3532"/>
    <w:rsid w:val="007F5ABD"/>
    <w:rsid w:val="007F6ED0"/>
    <w:rsid w:val="00800290"/>
    <w:rsid w:val="00800F3C"/>
    <w:rsid w:val="00802211"/>
    <w:rsid w:val="00807F59"/>
    <w:rsid w:val="00810418"/>
    <w:rsid w:val="008152A0"/>
    <w:rsid w:val="008163B9"/>
    <w:rsid w:val="0082095D"/>
    <w:rsid w:val="008213F8"/>
    <w:rsid w:val="00821628"/>
    <w:rsid w:val="008221C0"/>
    <w:rsid w:val="008231CF"/>
    <w:rsid w:val="0082519E"/>
    <w:rsid w:val="00826C3B"/>
    <w:rsid w:val="00827CC3"/>
    <w:rsid w:val="00830862"/>
    <w:rsid w:val="008313D4"/>
    <w:rsid w:val="00831DF7"/>
    <w:rsid w:val="008321DB"/>
    <w:rsid w:val="008323FF"/>
    <w:rsid w:val="008343B0"/>
    <w:rsid w:val="0083643B"/>
    <w:rsid w:val="00836535"/>
    <w:rsid w:val="00836BC3"/>
    <w:rsid w:val="00837230"/>
    <w:rsid w:val="00841A51"/>
    <w:rsid w:val="008446E3"/>
    <w:rsid w:val="00845D31"/>
    <w:rsid w:val="00850C57"/>
    <w:rsid w:val="008564D7"/>
    <w:rsid w:val="00857B22"/>
    <w:rsid w:val="00860BD4"/>
    <w:rsid w:val="00865B5D"/>
    <w:rsid w:val="00865CCC"/>
    <w:rsid w:val="008665E7"/>
    <w:rsid w:val="00866DE4"/>
    <w:rsid w:val="00871C3F"/>
    <w:rsid w:val="00872BE9"/>
    <w:rsid w:val="00872E37"/>
    <w:rsid w:val="00874482"/>
    <w:rsid w:val="00874557"/>
    <w:rsid w:val="00874DAF"/>
    <w:rsid w:val="00874DD2"/>
    <w:rsid w:val="0088115E"/>
    <w:rsid w:val="0088410D"/>
    <w:rsid w:val="00884BAA"/>
    <w:rsid w:val="00886432"/>
    <w:rsid w:val="00886A8E"/>
    <w:rsid w:val="00891F8B"/>
    <w:rsid w:val="00895108"/>
    <w:rsid w:val="00895849"/>
    <w:rsid w:val="008959C4"/>
    <w:rsid w:val="0089664D"/>
    <w:rsid w:val="008A00AA"/>
    <w:rsid w:val="008A3227"/>
    <w:rsid w:val="008A3868"/>
    <w:rsid w:val="008A4B1B"/>
    <w:rsid w:val="008A4E79"/>
    <w:rsid w:val="008A7850"/>
    <w:rsid w:val="008B102C"/>
    <w:rsid w:val="008B2D25"/>
    <w:rsid w:val="008B3CFF"/>
    <w:rsid w:val="008C0B8B"/>
    <w:rsid w:val="008C5A93"/>
    <w:rsid w:val="008C7408"/>
    <w:rsid w:val="008D11D8"/>
    <w:rsid w:val="008D2847"/>
    <w:rsid w:val="008D33A6"/>
    <w:rsid w:val="008D6B7A"/>
    <w:rsid w:val="008D79BD"/>
    <w:rsid w:val="008D7B98"/>
    <w:rsid w:val="008E0641"/>
    <w:rsid w:val="008E0B06"/>
    <w:rsid w:val="008E1665"/>
    <w:rsid w:val="008E212A"/>
    <w:rsid w:val="008E2AE8"/>
    <w:rsid w:val="008E4809"/>
    <w:rsid w:val="008F10FC"/>
    <w:rsid w:val="008F2F98"/>
    <w:rsid w:val="008F34CD"/>
    <w:rsid w:val="008F3E2F"/>
    <w:rsid w:val="008F41BF"/>
    <w:rsid w:val="008F4484"/>
    <w:rsid w:val="008F4DFD"/>
    <w:rsid w:val="008F5B48"/>
    <w:rsid w:val="008F68E7"/>
    <w:rsid w:val="008F7A93"/>
    <w:rsid w:val="00901019"/>
    <w:rsid w:val="009011BE"/>
    <w:rsid w:val="00901F53"/>
    <w:rsid w:val="00903F85"/>
    <w:rsid w:val="00904843"/>
    <w:rsid w:val="0090559B"/>
    <w:rsid w:val="00910B33"/>
    <w:rsid w:val="00911297"/>
    <w:rsid w:val="0091395C"/>
    <w:rsid w:val="00917D7F"/>
    <w:rsid w:val="0092018F"/>
    <w:rsid w:val="00920221"/>
    <w:rsid w:val="00921BE7"/>
    <w:rsid w:val="00921CC8"/>
    <w:rsid w:val="00922856"/>
    <w:rsid w:val="00924ACD"/>
    <w:rsid w:val="00926080"/>
    <w:rsid w:val="009260D7"/>
    <w:rsid w:val="00926327"/>
    <w:rsid w:val="00926D9C"/>
    <w:rsid w:val="00931B12"/>
    <w:rsid w:val="009328C8"/>
    <w:rsid w:val="009333F6"/>
    <w:rsid w:val="00936FC2"/>
    <w:rsid w:val="0093710F"/>
    <w:rsid w:val="00940B5C"/>
    <w:rsid w:val="00942144"/>
    <w:rsid w:val="0094247F"/>
    <w:rsid w:val="00943201"/>
    <w:rsid w:val="00944F93"/>
    <w:rsid w:val="00945156"/>
    <w:rsid w:val="009453D4"/>
    <w:rsid w:val="00946AFA"/>
    <w:rsid w:val="0095124E"/>
    <w:rsid w:val="0095130C"/>
    <w:rsid w:val="00953BB7"/>
    <w:rsid w:val="00957C27"/>
    <w:rsid w:val="0096330F"/>
    <w:rsid w:val="00963915"/>
    <w:rsid w:val="00964D35"/>
    <w:rsid w:val="0096539E"/>
    <w:rsid w:val="0097069C"/>
    <w:rsid w:val="00973FDC"/>
    <w:rsid w:val="00974B19"/>
    <w:rsid w:val="00975972"/>
    <w:rsid w:val="009763BB"/>
    <w:rsid w:val="00977016"/>
    <w:rsid w:val="00980126"/>
    <w:rsid w:val="0098344B"/>
    <w:rsid w:val="00984612"/>
    <w:rsid w:val="00990458"/>
    <w:rsid w:val="00990CE7"/>
    <w:rsid w:val="00993FCC"/>
    <w:rsid w:val="009959E8"/>
    <w:rsid w:val="0099683D"/>
    <w:rsid w:val="009A06D7"/>
    <w:rsid w:val="009A320C"/>
    <w:rsid w:val="009A4AB5"/>
    <w:rsid w:val="009A6BF9"/>
    <w:rsid w:val="009A6EC8"/>
    <w:rsid w:val="009B0C92"/>
    <w:rsid w:val="009B3295"/>
    <w:rsid w:val="009B561B"/>
    <w:rsid w:val="009C14E8"/>
    <w:rsid w:val="009C2D68"/>
    <w:rsid w:val="009C3CBB"/>
    <w:rsid w:val="009C41B6"/>
    <w:rsid w:val="009C64BB"/>
    <w:rsid w:val="009C6DCD"/>
    <w:rsid w:val="009D0F61"/>
    <w:rsid w:val="009D1B20"/>
    <w:rsid w:val="009D2734"/>
    <w:rsid w:val="009D46C6"/>
    <w:rsid w:val="009D5ADB"/>
    <w:rsid w:val="009D5D20"/>
    <w:rsid w:val="009D5DB0"/>
    <w:rsid w:val="009D645B"/>
    <w:rsid w:val="009D65E8"/>
    <w:rsid w:val="009D7969"/>
    <w:rsid w:val="009D7A2C"/>
    <w:rsid w:val="009E2600"/>
    <w:rsid w:val="009E3602"/>
    <w:rsid w:val="009E5851"/>
    <w:rsid w:val="009E64A9"/>
    <w:rsid w:val="009F34BE"/>
    <w:rsid w:val="009F3A2A"/>
    <w:rsid w:val="009F4D29"/>
    <w:rsid w:val="009F5D11"/>
    <w:rsid w:val="009F6D36"/>
    <w:rsid w:val="00A00F65"/>
    <w:rsid w:val="00A012A9"/>
    <w:rsid w:val="00A018D6"/>
    <w:rsid w:val="00A025A7"/>
    <w:rsid w:val="00A03254"/>
    <w:rsid w:val="00A0488B"/>
    <w:rsid w:val="00A06F58"/>
    <w:rsid w:val="00A07986"/>
    <w:rsid w:val="00A11F67"/>
    <w:rsid w:val="00A12757"/>
    <w:rsid w:val="00A127FD"/>
    <w:rsid w:val="00A14C98"/>
    <w:rsid w:val="00A14E33"/>
    <w:rsid w:val="00A14E9C"/>
    <w:rsid w:val="00A15AA7"/>
    <w:rsid w:val="00A16D57"/>
    <w:rsid w:val="00A20939"/>
    <w:rsid w:val="00A2269B"/>
    <w:rsid w:val="00A22DB6"/>
    <w:rsid w:val="00A22DDD"/>
    <w:rsid w:val="00A23C3F"/>
    <w:rsid w:val="00A256A8"/>
    <w:rsid w:val="00A25B6E"/>
    <w:rsid w:val="00A266ED"/>
    <w:rsid w:val="00A27450"/>
    <w:rsid w:val="00A322AC"/>
    <w:rsid w:val="00A405D1"/>
    <w:rsid w:val="00A41C3D"/>
    <w:rsid w:val="00A43C8C"/>
    <w:rsid w:val="00A43E36"/>
    <w:rsid w:val="00A4406C"/>
    <w:rsid w:val="00A44621"/>
    <w:rsid w:val="00A44DC0"/>
    <w:rsid w:val="00A451D1"/>
    <w:rsid w:val="00A4558E"/>
    <w:rsid w:val="00A45885"/>
    <w:rsid w:val="00A47783"/>
    <w:rsid w:val="00A5174F"/>
    <w:rsid w:val="00A51C2A"/>
    <w:rsid w:val="00A53899"/>
    <w:rsid w:val="00A53D6B"/>
    <w:rsid w:val="00A54236"/>
    <w:rsid w:val="00A55972"/>
    <w:rsid w:val="00A563EF"/>
    <w:rsid w:val="00A61331"/>
    <w:rsid w:val="00A614D0"/>
    <w:rsid w:val="00A623B5"/>
    <w:rsid w:val="00A66BE2"/>
    <w:rsid w:val="00A75F5C"/>
    <w:rsid w:val="00A8102B"/>
    <w:rsid w:val="00A85FA1"/>
    <w:rsid w:val="00A86427"/>
    <w:rsid w:val="00A87A07"/>
    <w:rsid w:val="00A922D6"/>
    <w:rsid w:val="00A94DB2"/>
    <w:rsid w:val="00A95CEC"/>
    <w:rsid w:val="00A979D0"/>
    <w:rsid w:val="00AA4B6D"/>
    <w:rsid w:val="00AB0A1A"/>
    <w:rsid w:val="00AB1FA3"/>
    <w:rsid w:val="00AB330C"/>
    <w:rsid w:val="00AB3C30"/>
    <w:rsid w:val="00AB42E1"/>
    <w:rsid w:val="00AB5A62"/>
    <w:rsid w:val="00AB664E"/>
    <w:rsid w:val="00AB774C"/>
    <w:rsid w:val="00AC2221"/>
    <w:rsid w:val="00AC2956"/>
    <w:rsid w:val="00AC696D"/>
    <w:rsid w:val="00AC7A5F"/>
    <w:rsid w:val="00AD1F52"/>
    <w:rsid w:val="00AD7FF1"/>
    <w:rsid w:val="00AE081C"/>
    <w:rsid w:val="00AE1CF0"/>
    <w:rsid w:val="00AE1F9D"/>
    <w:rsid w:val="00AE38B9"/>
    <w:rsid w:val="00AE7C93"/>
    <w:rsid w:val="00AF0240"/>
    <w:rsid w:val="00AF163B"/>
    <w:rsid w:val="00AF2272"/>
    <w:rsid w:val="00AF36ED"/>
    <w:rsid w:val="00AF37CA"/>
    <w:rsid w:val="00AF3F87"/>
    <w:rsid w:val="00AF5216"/>
    <w:rsid w:val="00AF57B0"/>
    <w:rsid w:val="00B00E50"/>
    <w:rsid w:val="00B04EA2"/>
    <w:rsid w:val="00B05500"/>
    <w:rsid w:val="00B07F92"/>
    <w:rsid w:val="00B11511"/>
    <w:rsid w:val="00B116C9"/>
    <w:rsid w:val="00B14477"/>
    <w:rsid w:val="00B14866"/>
    <w:rsid w:val="00B1645D"/>
    <w:rsid w:val="00B1752C"/>
    <w:rsid w:val="00B1795A"/>
    <w:rsid w:val="00B2070A"/>
    <w:rsid w:val="00B20DBE"/>
    <w:rsid w:val="00B2223C"/>
    <w:rsid w:val="00B26B76"/>
    <w:rsid w:val="00B30B92"/>
    <w:rsid w:val="00B35778"/>
    <w:rsid w:val="00B43A76"/>
    <w:rsid w:val="00B4481B"/>
    <w:rsid w:val="00B44867"/>
    <w:rsid w:val="00B51A48"/>
    <w:rsid w:val="00B53621"/>
    <w:rsid w:val="00B54100"/>
    <w:rsid w:val="00B55C85"/>
    <w:rsid w:val="00B55E53"/>
    <w:rsid w:val="00B56C2D"/>
    <w:rsid w:val="00B57655"/>
    <w:rsid w:val="00B57AA4"/>
    <w:rsid w:val="00B57E57"/>
    <w:rsid w:val="00B61295"/>
    <w:rsid w:val="00B62A4C"/>
    <w:rsid w:val="00B62B1F"/>
    <w:rsid w:val="00B6388E"/>
    <w:rsid w:val="00B66004"/>
    <w:rsid w:val="00B66427"/>
    <w:rsid w:val="00B67293"/>
    <w:rsid w:val="00B6786C"/>
    <w:rsid w:val="00B67AF0"/>
    <w:rsid w:val="00B67B50"/>
    <w:rsid w:val="00B701D8"/>
    <w:rsid w:val="00B70D19"/>
    <w:rsid w:val="00B716C1"/>
    <w:rsid w:val="00B72886"/>
    <w:rsid w:val="00B76250"/>
    <w:rsid w:val="00B769FD"/>
    <w:rsid w:val="00B83B87"/>
    <w:rsid w:val="00B84B67"/>
    <w:rsid w:val="00B85860"/>
    <w:rsid w:val="00B8757D"/>
    <w:rsid w:val="00B922E2"/>
    <w:rsid w:val="00B925E4"/>
    <w:rsid w:val="00B93C8F"/>
    <w:rsid w:val="00B94925"/>
    <w:rsid w:val="00B95F89"/>
    <w:rsid w:val="00B95FFD"/>
    <w:rsid w:val="00BA19E1"/>
    <w:rsid w:val="00BA448C"/>
    <w:rsid w:val="00BA5460"/>
    <w:rsid w:val="00BA660F"/>
    <w:rsid w:val="00BA7364"/>
    <w:rsid w:val="00BA73C2"/>
    <w:rsid w:val="00BB16B2"/>
    <w:rsid w:val="00BB2270"/>
    <w:rsid w:val="00BB2D6C"/>
    <w:rsid w:val="00BB4A60"/>
    <w:rsid w:val="00BB55D6"/>
    <w:rsid w:val="00BC3706"/>
    <w:rsid w:val="00BC547F"/>
    <w:rsid w:val="00BD1C08"/>
    <w:rsid w:val="00BD2961"/>
    <w:rsid w:val="00BD49A6"/>
    <w:rsid w:val="00BD4CF6"/>
    <w:rsid w:val="00BD4F2A"/>
    <w:rsid w:val="00BD6377"/>
    <w:rsid w:val="00BD735B"/>
    <w:rsid w:val="00BE2112"/>
    <w:rsid w:val="00BE58DA"/>
    <w:rsid w:val="00BE5FA5"/>
    <w:rsid w:val="00BF0C1A"/>
    <w:rsid w:val="00BF0C52"/>
    <w:rsid w:val="00BF526C"/>
    <w:rsid w:val="00BF56A5"/>
    <w:rsid w:val="00C0087A"/>
    <w:rsid w:val="00C00998"/>
    <w:rsid w:val="00C058C2"/>
    <w:rsid w:val="00C0592B"/>
    <w:rsid w:val="00C1170A"/>
    <w:rsid w:val="00C1351F"/>
    <w:rsid w:val="00C14024"/>
    <w:rsid w:val="00C1470C"/>
    <w:rsid w:val="00C157D2"/>
    <w:rsid w:val="00C209E0"/>
    <w:rsid w:val="00C20E0A"/>
    <w:rsid w:val="00C221A5"/>
    <w:rsid w:val="00C24237"/>
    <w:rsid w:val="00C27106"/>
    <w:rsid w:val="00C27F2B"/>
    <w:rsid w:val="00C30644"/>
    <w:rsid w:val="00C30D39"/>
    <w:rsid w:val="00C3295C"/>
    <w:rsid w:val="00C32A54"/>
    <w:rsid w:val="00C37F9C"/>
    <w:rsid w:val="00C44685"/>
    <w:rsid w:val="00C44F00"/>
    <w:rsid w:val="00C51226"/>
    <w:rsid w:val="00C51236"/>
    <w:rsid w:val="00C53CDF"/>
    <w:rsid w:val="00C5427B"/>
    <w:rsid w:val="00C55751"/>
    <w:rsid w:val="00C61B37"/>
    <w:rsid w:val="00C62469"/>
    <w:rsid w:val="00C62C31"/>
    <w:rsid w:val="00C62D88"/>
    <w:rsid w:val="00C644A8"/>
    <w:rsid w:val="00C663F4"/>
    <w:rsid w:val="00C726BA"/>
    <w:rsid w:val="00C84E52"/>
    <w:rsid w:val="00C86EF2"/>
    <w:rsid w:val="00C87629"/>
    <w:rsid w:val="00C915A3"/>
    <w:rsid w:val="00C972BD"/>
    <w:rsid w:val="00C97E4B"/>
    <w:rsid w:val="00CA0E11"/>
    <w:rsid w:val="00CA179F"/>
    <w:rsid w:val="00CA23A1"/>
    <w:rsid w:val="00CA670C"/>
    <w:rsid w:val="00CA7B98"/>
    <w:rsid w:val="00CA7E3D"/>
    <w:rsid w:val="00CB0392"/>
    <w:rsid w:val="00CB0937"/>
    <w:rsid w:val="00CB269B"/>
    <w:rsid w:val="00CB4F46"/>
    <w:rsid w:val="00CB53EB"/>
    <w:rsid w:val="00CC022C"/>
    <w:rsid w:val="00CC032F"/>
    <w:rsid w:val="00CC2DB4"/>
    <w:rsid w:val="00CC4636"/>
    <w:rsid w:val="00CC4A9B"/>
    <w:rsid w:val="00CC4FAE"/>
    <w:rsid w:val="00CD22BB"/>
    <w:rsid w:val="00CD2CB2"/>
    <w:rsid w:val="00CD3B55"/>
    <w:rsid w:val="00CD406A"/>
    <w:rsid w:val="00CD41D2"/>
    <w:rsid w:val="00CD48C3"/>
    <w:rsid w:val="00CD4B84"/>
    <w:rsid w:val="00CE2BF1"/>
    <w:rsid w:val="00CE3720"/>
    <w:rsid w:val="00CE3963"/>
    <w:rsid w:val="00CE403E"/>
    <w:rsid w:val="00CE68A4"/>
    <w:rsid w:val="00CF0D7F"/>
    <w:rsid w:val="00CF16F2"/>
    <w:rsid w:val="00CF3624"/>
    <w:rsid w:val="00CF5F84"/>
    <w:rsid w:val="00CF63FD"/>
    <w:rsid w:val="00CF7F82"/>
    <w:rsid w:val="00D01BE7"/>
    <w:rsid w:val="00D02FB5"/>
    <w:rsid w:val="00D03FBF"/>
    <w:rsid w:val="00D05B56"/>
    <w:rsid w:val="00D05FE3"/>
    <w:rsid w:val="00D07772"/>
    <w:rsid w:val="00D10FA3"/>
    <w:rsid w:val="00D1459E"/>
    <w:rsid w:val="00D15150"/>
    <w:rsid w:val="00D20103"/>
    <w:rsid w:val="00D206D7"/>
    <w:rsid w:val="00D20D2E"/>
    <w:rsid w:val="00D227B5"/>
    <w:rsid w:val="00D24FD3"/>
    <w:rsid w:val="00D2776F"/>
    <w:rsid w:val="00D32F68"/>
    <w:rsid w:val="00D32FBA"/>
    <w:rsid w:val="00D36235"/>
    <w:rsid w:val="00D372D1"/>
    <w:rsid w:val="00D40583"/>
    <w:rsid w:val="00D40E14"/>
    <w:rsid w:val="00D443A8"/>
    <w:rsid w:val="00D44664"/>
    <w:rsid w:val="00D45215"/>
    <w:rsid w:val="00D46752"/>
    <w:rsid w:val="00D50428"/>
    <w:rsid w:val="00D528B3"/>
    <w:rsid w:val="00D53CE7"/>
    <w:rsid w:val="00D540AA"/>
    <w:rsid w:val="00D5637D"/>
    <w:rsid w:val="00D579DD"/>
    <w:rsid w:val="00D678C9"/>
    <w:rsid w:val="00D702E5"/>
    <w:rsid w:val="00D70889"/>
    <w:rsid w:val="00D72E3E"/>
    <w:rsid w:val="00D72F5F"/>
    <w:rsid w:val="00D81486"/>
    <w:rsid w:val="00D81C30"/>
    <w:rsid w:val="00D82709"/>
    <w:rsid w:val="00D827E4"/>
    <w:rsid w:val="00D828CB"/>
    <w:rsid w:val="00D86D75"/>
    <w:rsid w:val="00D871DD"/>
    <w:rsid w:val="00D90DBC"/>
    <w:rsid w:val="00D94B65"/>
    <w:rsid w:val="00D97C5D"/>
    <w:rsid w:val="00DA018D"/>
    <w:rsid w:val="00DA21F8"/>
    <w:rsid w:val="00DA23F4"/>
    <w:rsid w:val="00DB1F92"/>
    <w:rsid w:val="00DB5362"/>
    <w:rsid w:val="00DB750E"/>
    <w:rsid w:val="00DC0243"/>
    <w:rsid w:val="00DC1576"/>
    <w:rsid w:val="00DC3A6C"/>
    <w:rsid w:val="00DC3CC3"/>
    <w:rsid w:val="00DC50CE"/>
    <w:rsid w:val="00DD0972"/>
    <w:rsid w:val="00DD0BB7"/>
    <w:rsid w:val="00DD1B7B"/>
    <w:rsid w:val="00DD231B"/>
    <w:rsid w:val="00DD50CB"/>
    <w:rsid w:val="00DE04F4"/>
    <w:rsid w:val="00DE0BD8"/>
    <w:rsid w:val="00DE1B9F"/>
    <w:rsid w:val="00DE2324"/>
    <w:rsid w:val="00DE3369"/>
    <w:rsid w:val="00DE746C"/>
    <w:rsid w:val="00DF1038"/>
    <w:rsid w:val="00DF135E"/>
    <w:rsid w:val="00DF184B"/>
    <w:rsid w:val="00DF281B"/>
    <w:rsid w:val="00DF2881"/>
    <w:rsid w:val="00DF4624"/>
    <w:rsid w:val="00DF6516"/>
    <w:rsid w:val="00DF66F4"/>
    <w:rsid w:val="00DF6A27"/>
    <w:rsid w:val="00E016DB"/>
    <w:rsid w:val="00E026C1"/>
    <w:rsid w:val="00E02816"/>
    <w:rsid w:val="00E04D84"/>
    <w:rsid w:val="00E055C3"/>
    <w:rsid w:val="00E07E67"/>
    <w:rsid w:val="00E14AA0"/>
    <w:rsid w:val="00E165A1"/>
    <w:rsid w:val="00E17304"/>
    <w:rsid w:val="00E173AE"/>
    <w:rsid w:val="00E20955"/>
    <w:rsid w:val="00E2355F"/>
    <w:rsid w:val="00E27A03"/>
    <w:rsid w:val="00E3137F"/>
    <w:rsid w:val="00E31DB9"/>
    <w:rsid w:val="00E32218"/>
    <w:rsid w:val="00E34160"/>
    <w:rsid w:val="00E36C33"/>
    <w:rsid w:val="00E37087"/>
    <w:rsid w:val="00E40128"/>
    <w:rsid w:val="00E41FC9"/>
    <w:rsid w:val="00E42657"/>
    <w:rsid w:val="00E4289E"/>
    <w:rsid w:val="00E43178"/>
    <w:rsid w:val="00E44195"/>
    <w:rsid w:val="00E456B5"/>
    <w:rsid w:val="00E465D4"/>
    <w:rsid w:val="00E5357A"/>
    <w:rsid w:val="00E53839"/>
    <w:rsid w:val="00E5511E"/>
    <w:rsid w:val="00E5529F"/>
    <w:rsid w:val="00E55CAD"/>
    <w:rsid w:val="00E60523"/>
    <w:rsid w:val="00E6054B"/>
    <w:rsid w:val="00E60BDC"/>
    <w:rsid w:val="00E63451"/>
    <w:rsid w:val="00E642D6"/>
    <w:rsid w:val="00E642F2"/>
    <w:rsid w:val="00E6572D"/>
    <w:rsid w:val="00E659B7"/>
    <w:rsid w:val="00E6746A"/>
    <w:rsid w:val="00E67E88"/>
    <w:rsid w:val="00E76D98"/>
    <w:rsid w:val="00E87414"/>
    <w:rsid w:val="00E87A02"/>
    <w:rsid w:val="00E9035B"/>
    <w:rsid w:val="00E90621"/>
    <w:rsid w:val="00E91E23"/>
    <w:rsid w:val="00E93B50"/>
    <w:rsid w:val="00E94DE3"/>
    <w:rsid w:val="00E95704"/>
    <w:rsid w:val="00E97491"/>
    <w:rsid w:val="00EA3E44"/>
    <w:rsid w:val="00EB103A"/>
    <w:rsid w:val="00EB1CF6"/>
    <w:rsid w:val="00EB3C30"/>
    <w:rsid w:val="00EB458B"/>
    <w:rsid w:val="00EB63A0"/>
    <w:rsid w:val="00EB7708"/>
    <w:rsid w:val="00EC0572"/>
    <w:rsid w:val="00EC08C5"/>
    <w:rsid w:val="00EC1055"/>
    <w:rsid w:val="00EC149A"/>
    <w:rsid w:val="00EC3388"/>
    <w:rsid w:val="00EC442B"/>
    <w:rsid w:val="00EC6EDF"/>
    <w:rsid w:val="00ED02CF"/>
    <w:rsid w:val="00ED2736"/>
    <w:rsid w:val="00ED2CEF"/>
    <w:rsid w:val="00ED35CF"/>
    <w:rsid w:val="00ED51C5"/>
    <w:rsid w:val="00ED79E3"/>
    <w:rsid w:val="00ED7F2F"/>
    <w:rsid w:val="00EE01E1"/>
    <w:rsid w:val="00EE0689"/>
    <w:rsid w:val="00EE23FD"/>
    <w:rsid w:val="00EE39A2"/>
    <w:rsid w:val="00EE3A3C"/>
    <w:rsid w:val="00EE5ED4"/>
    <w:rsid w:val="00EE5F11"/>
    <w:rsid w:val="00EE77E3"/>
    <w:rsid w:val="00EF0DC7"/>
    <w:rsid w:val="00EF1164"/>
    <w:rsid w:val="00EF1A09"/>
    <w:rsid w:val="00EF270B"/>
    <w:rsid w:val="00EF617C"/>
    <w:rsid w:val="00EF717A"/>
    <w:rsid w:val="00EF7D3B"/>
    <w:rsid w:val="00F00422"/>
    <w:rsid w:val="00F00A22"/>
    <w:rsid w:val="00F01B37"/>
    <w:rsid w:val="00F02CC5"/>
    <w:rsid w:val="00F0407C"/>
    <w:rsid w:val="00F05D66"/>
    <w:rsid w:val="00F11256"/>
    <w:rsid w:val="00F1372D"/>
    <w:rsid w:val="00F14D94"/>
    <w:rsid w:val="00F1708D"/>
    <w:rsid w:val="00F17C43"/>
    <w:rsid w:val="00F17F36"/>
    <w:rsid w:val="00F2020C"/>
    <w:rsid w:val="00F26A27"/>
    <w:rsid w:val="00F26B86"/>
    <w:rsid w:val="00F27A6F"/>
    <w:rsid w:val="00F27B7F"/>
    <w:rsid w:val="00F31681"/>
    <w:rsid w:val="00F34273"/>
    <w:rsid w:val="00F37A58"/>
    <w:rsid w:val="00F37E1F"/>
    <w:rsid w:val="00F40D05"/>
    <w:rsid w:val="00F41596"/>
    <w:rsid w:val="00F42DA2"/>
    <w:rsid w:val="00F43642"/>
    <w:rsid w:val="00F444C9"/>
    <w:rsid w:val="00F47D89"/>
    <w:rsid w:val="00F51FE1"/>
    <w:rsid w:val="00F54CAC"/>
    <w:rsid w:val="00F644A7"/>
    <w:rsid w:val="00F65077"/>
    <w:rsid w:val="00F6768E"/>
    <w:rsid w:val="00F67BE7"/>
    <w:rsid w:val="00F705FB"/>
    <w:rsid w:val="00F7241F"/>
    <w:rsid w:val="00F75345"/>
    <w:rsid w:val="00F811E5"/>
    <w:rsid w:val="00F829CF"/>
    <w:rsid w:val="00F846EC"/>
    <w:rsid w:val="00F86D85"/>
    <w:rsid w:val="00F8743F"/>
    <w:rsid w:val="00F90E3B"/>
    <w:rsid w:val="00F91AF0"/>
    <w:rsid w:val="00F920D6"/>
    <w:rsid w:val="00F9344A"/>
    <w:rsid w:val="00F95D3A"/>
    <w:rsid w:val="00F9642E"/>
    <w:rsid w:val="00F969B3"/>
    <w:rsid w:val="00F96ED4"/>
    <w:rsid w:val="00F977F3"/>
    <w:rsid w:val="00FA13E6"/>
    <w:rsid w:val="00FA206A"/>
    <w:rsid w:val="00FA2AF1"/>
    <w:rsid w:val="00FA390C"/>
    <w:rsid w:val="00FA57C8"/>
    <w:rsid w:val="00FA654D"/>
    <w:rsid w:val="00FA6D05"/>
    <w:rsid w:val="00FA6EE9"/>
    <w:rsid w:val="00FB2AA0"/>
    <w:rsid w:val="00FC1188"/>
    <w:rsid w:val="00FC1C5D"/>
    <w:rsid w:val="00FC4813"/>
    <w:rsid w:val="00FC70A1"/>
    <w:rsid w:val="00FC742D"/>
    <w:rsid w:val="00FD1A30"/>
    <w:rsid w:val="00FD295B"/>
    <w:rsid w:val="00FD3D9D"/>
    <w:rsid w:val="00FD5D01"/>
    <w:rsid w:val="00FE07E5"/>
    <w:rsid w:val="00FE0FDD"/>
    <w:rsid w:val="00FE1077"/>
    <w:rsid w:val="00FE1777"/>
    <w:rsid w:val="00FE2E9B"/>
    <w:rsid w:val="00FE46CC"/>
    <w:rsid w:val="00FE508C"/>
    <w:rsid w:val="00FE5395"/>
    <w:rsid w:val="00FE5C05"/>
    <w:rsid w:val="00FE6069"/>
    <w:rsid w:val="00FE6C97"/>
    <w:rsid w:val="00FF2ACC"/>
    <w:rsid w:val="00FF332A"/>
    <w:rsid w:val="00FF3687"/>
    <w:rsid w:val="00FF4798"/>
    <w:rsid w:val="00FF5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5FE8527A"/>
  <w15:docId w15:val="{49A53EE4-160F-47DB-B11A-B137C236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basedOn w:val="Normal"/>
    <w:uiPriority w:val="99"/>
    <w:unhideWhenUsed/>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semiHidden/>
    <w:unhideWhenUsed/>
    <w:rsid w:val="008F2F98"/>
    <w:pPr>
      <w:tabs>
        <w:tab w:val="center" w:pos="4680"/>
        <w:tab w:val="right" w:pos="9360"/>
      </w:tabs>
    </w:pPr>
  </w:style>
  <w:style w:type="character" w:customStyle="1" w:styleId="FooterChar">
    <w:name w:val="Footer Char"/>
    <w:basedOn w:val="DefaultParagraphFont"/>
    <w:link w:val="Footer"/>
    <w:uiPriority w:val="99"/>
    <w:semiHidden/>
    <w:rsid w:val="008F2F98"/>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1">
    <w:name w:val="Unresolved Mention1"/>
    <w:basedOn w:val="DefaultParagraphFont"/>
    <w:uiPriority w:val="99"/>
    <w:semiHidden/>
    <w:unhideWhenUsed/>
    <w:rsid w:val="00A16D57"/>
    <w:rPr>
      <w:color w:val="605E5C"/>
      <w:shd w:val="clear" w:color="auto" w:fill="E1DFDD"/>
    </w:rPr>
  </w:style>
  <w:style w:type="character" w:styleId="CommentReference">
    <w:name w:val="annotation reference"/>
    <w:basedOn w:val="DefaultParagraphFont"/>
    <w:unhideWhenUsed/>
    <w:rsid w:val="0033531B"/>
    <w:rPr>
      <w:sz w:val="16"/>
      <w:szCs w:val="16"/>
    </w:rPr>
  </w:style>
  <w:style w:type="paragraph" w:styleId="CommentText">
    <w:name w:val="annotation text"/>
    <w:basedOn w:val="Normal"/>
    <w:link w:val="CommentTextChar"/>
    <w:unhideWhenUsed/>
    <w:rsid w:val="0033531B"/>
    <w:rPr>
      <w:sz w:val="20"/>
      <w:szCs w:val="20"/>
    </w:rPr>
  </w:style>
  <w:style w:type="character" w:customStyle="1" w:styleId="CommentTextChar">
    <w:name w:val="Comment Text Char"/>
    <w:basedOn w:val="DefaultParagraphFont"/>
    <w:link w:val="CommentText"/>
    <w:rsid w:val="0033531B"/>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3531B"/>
    <w:rPr>
      <w:b/>
      <w:bCs/>
    </w:rPr>
  </w:style>
  <w:style w:type="character" w:customStyle="1" w:styleId="CommentSubjectChar">
    <w:name w:val="Comment Subject Char"/>
    <w:basedOn w:val="CommentTextChar"/>
    <w:link w:val="CommentSubject"/>
    <w:uiPriority w:val="99"/>
    <w:semiHidden/>
    <w:rsid w:val="0033531B"/>
    <w:rPr>
      <w:rFonts w:ascii="Courier New" w:eastAsia="Times New Roman" w:hAnsi="Courier New" w:cs="Courier New"/>
      <w:b/>
      <w:bCs/>
      <w:color w:val="000000"/>
      <w:sz w:val="20"/>
      <w:szCs w:val="20"/>
      <w:lang w:val="vi-VN" w:eastAsia="vi-VN"/>
    </w:rPr>
  </w:style>
  <w:style w:type="paragraph" w:styleId="BalloonText">
    <w:name w:val="Balloon Text"/>
    <w:basedOn w:val="Normal"/>
    <w:link w:val="BalloonTextChar"/>
    <w:uiPriority w:val="99"/>
    <w:semiHidden/>
    <w:unhideWhenUsed/>
    <w:rsid w:val="0033531B"/>
    <w:rPr>
      <w:rFonts w:ascii="Tahoma" w:hAnsi="Tahoma" w:cs="Tahoma"/>
      <w:sz w:val="16"/>
      <w:szCs w:val="16"/>
    </w:rPr>
  </w:style>
  <w:style w:type="character" w:customStyle="1" w:styleId="BalloonTextChar">
    <w:name w:val="Balloon Text Char"/>
    <w:basedOn w:val="DefaultParagraphFont"/>
    <w:link w:val="BalloonText"/>
    <w:uiPriority w:val="99"/>
    <w:semiHidden/>
    <w:rsid w:val="0033531B"/>
    <w:rPr>
      <w:rFonts w:ascii="Tahoma" w:eastAsia="Times New Roman" w:hAnsi="Tahoma" w:cs="Tahoma"/>
      <w:color w:val="000000"/>
      <w:sz w:val="16"/>
      <w:szCs w:val="16"/>
      <w:lang w:val="vi-VN" w:eastAsia="vi-VN"/>
    </w:rPr>
  </w:style>
  <w:style w:type="character" w:customStyle="1" w:styleId="UnresolvedMention">
    <w:name w:val="Unresolved Mention"/>
    <w:basedOn w:val="DefaultParagraphFont"/>
    <w:uiPriority w:val="99"/>
    <w:semiHidden/>
    <w:unhideWhenUsed/>
    <w:rsid w:val="008F1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375393478">
      <w:bodyDiv w:val="1"/>
      <w:marLeft w:val="0"/>
      <w:marRight w:val="0"/>
      <w:marTop w:val="0"/>
      <w:marBottom w:val="0"/>
      <w:divBdr>
        <w:top w:val="none" w:sz="0" w:space="0" w:color="auto"/>
        <w:left w:val="none" w:sz="0" w:space="0" w:color="auto"/>
        <w:bottom w:val="none" w:sz="0" w:space="0" w:color="auto"/>
        <w:right w:val="none" w:sz="0" w:space="0" w:color="auto"/>
      </w:divBdr>
    </w:div>
    <w:div w:id="426852227">
      <w:bodyDiv w:val="1"/>
      <w:marLeft w:val="0"/>
      <w:marRight w:val="0"/>
      <w:marTop w:val="0"/>
      <w:marBottom w:val="0"/>
      <w:divBdr>
        <w:top w:val="none" w:sz="0" w:space="0" w:color="auto"/>
        <w:left w:val="none" w:sz="0" w:space="0" w:color="auto"/>
        <w:bottom w:val="none" w:sz="0" w:space="0" w:color="auto"/>
        <w:right w:val="none" w:sz="0" w:space="0" w:color="auto"/>
      </w:divBdr>
    </w:div>
    <w:div w:id="590966758">
      <w:bodyDiv w:val="1"/>
      <w:marLeft w:val="0"/>
      <w:marRight w:val="0"/>
      <w:marTop w:val="0"/>
      <w:marBottom w:val="0"/>
      <w:divBdr>
        <w:top w:val="none" w:sz="0" w:space="0" w:color="auto"/>
        <w:left w:val="none" w:sz="0" w:space="0" w:color="auto"/>
        <w:bottom w:val="none" w:sz="0" w:space="0" w:color="auto"/>
        <w:right w:val="none" w:sz="0" w:space="0" w:color="auto"/>
      </w:divBdr>
    </w:div>
    <w:div w:id="764964287">
      <w:bodyDiv w:val="1"/>
      <w:marLeft w:val="0"/>
      <w:marRight w:val="0"/>
      <w:marTop w:val="0"/>
      <w:marBottom w:val="0"/>
      <w:divBdr>
        <w:top w:val="none" w:sz="0" w:space="0" w:color="auto"/>
        <w:left w:val="none" w:sz="0" w:space="0" w:color="auto"/>
        <w:bottom w:val="none" w:sz="0" w:space="0" w:color="auto"/>
        <w:right w:val="none" w:sz="0" w:space="0" w:color="auto"/>
      </w:divBdr>
    </w:div>
    <w:div w:id="1027293945">
      <w:bodyDiv w:val="1"/>
      <w:marLeft w:val="0"/>
      <w:marRight w:val="0"/>
      <w:marTop w:val="0"/>
      <w:marBottom w:val="0"/>
      <w:divBdr>
        <w:top w:val="none" w:sz="0" w:space="0" w:color="auto"/>
        <w:left w:val="none" w:sz="0" w:space="0" w:color="auto"/>
        <w:bottom w:val="none" w:sz="0" w:space="0" w:color="auto"/>
        <w:right w:val="none" w:sz="0" w:space="0" w:color="auto"/>
      </w:divBdr>
    </w:div>
    <w:div w:id="1191531476">
      <w:bodyDiv w:val="1"/>
      <w:marLeft w:val="0"/>
      <w:marRight w:val="0"/>
      <w:marTop w:val="0"/>
      <w:marBottom w:val="0"/>
      <w:divBdr>
        <w:top w:val="none" w:sz="0" w:space="0" w:color="auto"/>
        <w:left w:val="none" w:sz="0" w:space="0" w:color="auto"/>
        <w:bottom w:val="none" w:sz="0" w:space="0" w:color="auto"/>
        <w:right w:val="none" w:sz="0" w:space="0" w:color="auto"/>
      </w:divBdr>
    </w:div>
    <w:div w:id="1299259035">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 w:id="1924603691">
      <w:bodyDiv w:val="1"/>
      <w:marLeft w:val="0"/>
      <w:marRight w:val="0"/>
      <w:marTop w:val="0"/>
      <w:marBottom w:val="0"/>
      <w:divBdr>
        <w:top w:val="none" w:sz="0" w:space="0" w:color="auto"/>
        <w:left w:val="none" w:sz="0" w:space="0" w:color="auto"/>
        <w:bottom w:val="none" w:sz="0" w:space="0" w:color="auto"/>
        <w:right w:val="none" w:sz="0" w:space="0" w:color="auto"/>
      </w:divBdr>
    </w:div>
    <w:div w:id="2074429656">
      <w:bodyDiv w:val="1"/>
      <w:marLeft w:val="0"/>
      <w:marRight w:val="0"/>
      <w:marTop w:val="0"/>
      <w:marBottom w:val="0"/>
      <w:divBdr>
        <w:top w:val="none" w:sz="0" w:space="0" w:color="auto"/>
        <w:left w:val="none" w:sz="0" w:space="0" w:color="auto"/>
        <w:bottom w:val="none" w:sz="0" w:space="0" w:color="auto"/>
        <w:right w:val="none" w:sz="0" w:space="0" w:color="auto"/>
      </w:divBdr>
    </w:div>
    <w:div w:id="21155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quyet-dinh-861-qd-ttg-2021-danh-sach-cac-xa-iii-ii-i-vung-dong-bao-dan-toc-thieu-so-mien-nui-476885.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at-dong-san/nghi-dinh-102-2024-nd-cp-huong-dan-luat-dat-dai-6039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2FE06-8FE0-4130-A402-CE3EA3DF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9</Pages>
  <Words>2631</Words>
  <Characters>15000</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Admin</cp:lastModifiedBy>
  <cp:revision>1664</cp:revision>
  <cp:lastPrinted>2025-09-15T02:20:00Z</cp:lastPrinted>
  <dcterms:created xsi:type="dcterms:W3CDTF">2025-04-22T01:52:00Z</dcterms:created>
  <dcterms:modified xsi:type="dcterms:W3CDTF">2025-10-16T12:08:00Z</dcterms:modified>
</cp:coreProperties>
</file>