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4"/>
        <w:tblW w:w="0" w:type="auto"/>
        <w:tblCellSpacing w:w="0" w:type="dxa"/>
        <w:tblCellMar>
          <w:left w:w="0" w:type="dxa"/>
          <w:right w:w="0" w:type="dxa"/>
        </w:tblCellMar>
        <w:tblLook w:val="04A0" w:firstRow="1" w:lastRow="0" w:firstColumn="1" w:lastColumn="0" w:noHBand="0" w:noVBand="1"/>
      </w:tblPr>
      <w:tblGrid>
        <w:gridCol w:w="3223"/>
        <w:gridCol w:w="5849"/>
      </w:tblGrid>
      <w:tr w:rsidR="006A7AFF" w:rsidRPr="000845E1" w14:paraId="36F1F11B" w14:textId="77777777" w:rsidTr="009677C3">
        <w:trPr>
          <w:trHeight w:val="845"/>
          <w:tblCellSpacing w:w="0" w:type="dxa"/>
        </w:trPr>
        <w:tc>
          <w:tcPr>
            <w:tcW w:w="3223" w:type="dxa"/>
            <w:tcMar>
              <w:top w:w="0" w:type="dxa"/>
              <w:left w:w="108" w:type="dxa"/>
              <w:bottom w:w="0" w:type="dxa"/>
              <w:right w:w="108" w:type="dxa"/>
            </w:tcMar>
            <w:hideMark/>
          </w:tcPr>
          <w:p w14:paraId="7A4A6988" w14:textId="253BA779" w:rsidR="006A7AFF" w:rsidRPr="000845E1" w:rsidRDefault="009677C3" w:rsidP="00C9166F">
            <w:pPr>
              <w:spacing w:before="60"/>
              <w:jc w:val="center"/>
              <w:rPr>
                <w:rFonts w:ascii="Times New Roman" w:eastAsia="Times New Roman" w:hAnsi="Times New Roman" w:cs="Times New Roman"/>
                <w:sz w:val="24"/>
                <w:szCs w:val="24"/>
              </w:rPr>
            </w:pPr>
            <w:r w:rsidRPr="000845E1">
              <w:rPr>
                <w:rFonts w:ascii="Times New Roman" w:eastAsia="Times New Roman" w:hAnsi="Times New Roman" w:cs="Times New Roman"/>
                <w:b/>
                <w:bCs/>
                <w:noProof/>
                <w:sz w:val="26"/>
                <w:szCs w:val="24"/>
              </w:rPr>
              <mc:AlternateContent>
                <mc:Choice Requires="wps">
                  <w:drawing>
                    <wp:anchor distT="0" distB="0" distL="114300" distR="114300" simplePos="0" relativeHeight="251668480" behindDoc="0" locked="0" layoutInCell="1" allowOverlap="1" wp14:anchorId="1B5BCBE8" wp14:editId="2B43913A">
                      <wp:simplePos x="0" y="0"/>
                      <wp:positionH relativeFrom="column">
                        <wp:posOffset>600710</wp:posOffset>
                      </wp:positionH>
                      <wp:positionV relativeFrom="paragraph">
                        <wp:posOffset>426085</wp:posOffset>
                      </wp:positionV>
                      <wp:extent cx="580445" cy="0"/>
                      <wp:effectExtent l="0" t="0" r="10160" b="19050"/>
                      <wp:wrapNone/>
                      <wp:docPr id="1219331751" name="Straight Connector 1219331751"/>
                      <wp:cNvGraphicFramePr/>
                      <a:graphic xmlns:a="http://schemas.openxmlformats.org/drawingml/2006/main">
                        <a:graphicData uri="http://schemas.microsoft.com/office/word/2010/wordprocessingShape">
                          <wps:wsp>
                            <wps:cNvCnPr/>
                            <wps:spPr>
                              <a:xfrm>
                                <a:off x="0" y="0"/>
                                <a:ext cx="5804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2DACD14" id="Straight Connector 121933175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7.3pt,33.55pt" to="93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"/>
                  </w:pict>
                </mc:Fallback>
              </mc:AlternateContent>
            </w:r>
            <w:r w:rsidR="006A7AFF" w:rsidRPr="000845E1">
              <w:rPr>
                <w:rFonts w:ascii="Times New Roman" w:eastAsia="Times New Roman" w:hAnsi="Times New Roman" w:cs="Times New Roman"/>
                <w:b/>
                <w:bCs/>
                <w:sz w:val="26"/>
                <w:szCs w:val="24"/>
              </w:rPr>
              <w:t>HỘI ĐỒNG NHÂN DÂN</w:t>
            </w:r>
            <w:r w:rsidR="006A7AFF" w:rsidRPr="000845E1">
              <w:rPr>
                <w:rFonts w:ascii="Times New Roman" w:eastAsia="Times New Roman" w:hAnsi="Times New Roman" w:cs="Times New Roman"/>
                <w:b/>
                <w:bCs/>
                <w:sz w:val="24"/>
                <w:szCs w:val="24"/>
              </w:rPr>
              <w:br/>
            </w:r>
            <w:r w:rsidR="006A7AFF" w:rsidRPr="000845E1">
              <w:rPr>
                <w:rFonts w:ascii="Times New Roman" w:eastAsia="Times New Roman" w:hAnsi="Times New Roman" w:cs="Times New Roman"/>
                <w:b/>
                <w:bCs/>
                <w:sz w:val="26"/>
                <w:szCs w:val="24"/>
              </w:rPr>
              <w:t xml:space="preserve">TỈNH </w:t>
            </w:r>
            <w:r w:rsidR="0068114C" w:rsidRPr="000845E1">
              <w:rPr>
                <w:rFonts w:ascii="Times New Roman" w:eastAsia="Times New Roman" w:hAnsi="Times New Roman" w:cs="Times New Roman"/>
                <w:b/>
                <w:bCs/>
                <w:sz w:val="26"/>
                <w:szCs w:val="24"/>
              </w:rPr>
              <w:t>ĐỒNG NAI</w:t>
            </w:r>
            <w:r w:rsidR="006A7AFF" w:rsidRPr="000845E1">
              <w:rPr>
                <w:rFonts w:ascii="Times New Roman" w:eastAsia="Times New Roman" w:hAnsi="Times New Roman" w:cs="Times New Roman"/>
                <w:b/>
                <w:bCs/>
                <w:sz w:val="24"/>
                <w:szCs w:val="24"/>
              </w:rPr>
              <w:br/>
            </w:r>
          </w:p>
        </w:tc>
        <w:tc>
          <w:tcPr>
            <w:tcW w:w="5849" w:type="dxa"/>
            <w:tcMar>
              <w:top w:w="0" w:type="dxa"/>
              <w:left w:w="108" w:type="dxa"/>
              <w:bottom w:w="0" w:type="dxa"/>
              <w:right w:w="108" w:type="dxa"/>
            </w:tcMar>
            <w:hideMark/>
          </w:tcPr>
          <w:p w14:paraId="13BF8F87" w14:textId="4D658C6E" w:rsidR="006A7AFF" w:rsidRPr="000845E1" w:rsidRDefault="009677C3" w:rsidP="009677C3">
            <w:pPr>
              <w:spacing w:before="60"/>
              <w:jc w:val="center"/>
              <w:rPr>
                <w:rFonts w:ascii="Times New Roman" w:eastAsia="Times New Roman" w:hAnsi="Times New Roman" w:cs="Times New Roman"/>
                <w:sz w:val="24"/>
                <w:szCs w:val="24"/>
              </w:rPr>
            </w:pPr>
            <w:r w:rsidRPr="000845E1">
              <w:rPr>
                <w:rFonts w:ascii="Times New Roman" w:eastAsia="Times New Roman" w:hAnsi="Times New Roman" w:cs="Times New Roman"/>
                <w:b/>
                <w:bCs/>
                <w:noProof/>
                <w:sz w:val="26"/>
                <w:szCs w:val="24"/>
              </w:rPr>
              <mc:AlternateContent>
                <mc:Choice Requires="wps">
                  <w:drawing>
                    <wp:anchor distT="0" distB="0" distL="114300" distR="114300" simplePos="0" relativeHeight="251667456" behindDoc="0" locked="0" layoutInCell="1" allowOverlap="1" wp14:anchorId="3E6206DC" wp14:editId="707D0E1C">
                      <wp:simplePos x="0" y="0"/>
                      <wp:positionH relativeFrom="column">
                        <wp:posOffset>694055</wp:posOffset>
                      </wp:positionH>
                      <wp:positionV relativeFrom="paragraph">
                        <wp:posOffset>441960</wp:posOffset>
                      </wp:positionV>
                      <wp:extent cx="2154803" cy="0"/>
                      <wp:effectExtent l="0" t="0" r="17145" b="19050"/>
                      <wp:wrapNone/>
                      <wp:docPr id="12480209" name="Straight Connector 12480209"/>
                      <wp:cNvGraphicFramePr/>
                      <a:graphic xmlns:a="http://schemas.openxmlformats.org/drawingml/2006/main">
                        <a:graphicData uri="http://schemas.microsoft.com/office/word/2010/wordprocessingShape">
                          <wps:wsp>
                            <wps:cNvCnPr/>
                            <wps:spPr>
                              <a:xfrm>
                                <a:off x="0" y="0"/>
                                <a:ext cx="2154803"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C43008A" id="Straight Connector 1248020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65pt,34.8pt" to="224.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"/>
                  </w:pict>
                </mc:Fallback>
              </mc:AlternateContent>
            </w:r>
            <w:r w:rsidR="006A7AFF" w:rsidRPr="000845E1">
              <w:rPr>
                <w:rFonts w:ascii="Times New Roman" w:eastAsia="Times New Roman" w:hAnsi="Times New Roman" w:cs="Times New Roman"/>
                <w:b/>
                <w:bCs/>
                <w:sz w:val="26"/>
                <w:szCs w:val="24"/>
              </w:rPr>
              <w:t>CỘNG HÒA XÃ HỘI CHỦ NGHĨA VIỆT NAM</w:t>
            </w:r>
            <w:r w:rsidR="006A7AFF" w:rsidRPr="000845E1">
              <w:rPr>
                <w:rFonts w:ascii="Times New Roman" w:eastAsia="Times New Roman" w:hAnsi="Times New Roman" w:cs="Times New Roman"/>
                <w:b/>
                <w:bCs/>
                <w:sz w:val="24"/>
                <w:szCs w:val="24"/>
              </w:rPr>
              <w:br/>
            </w:r>
            <w:r w:rsidR="006A7AFF" w:rsidRPr="000845E1">
              <w:rPr>
                <w:rFonts w:ascii="Times New Roman" w:eastAsia="Times New Roman" w:hAnsi="Times New Roman" w:cs="Times New Roman"/>
                <w:b/>
                <w:bCs/>
                <w:sz w:val="28"/>
                <w:szCs w:val="24"/>
              </w:rPr>
              <w:t xml:space="preserve">Độc lập - Tự do - Hạnh phúc </w:t>
            </w:r>
            <w:r w:rsidR="006A7AFF" w:rsidRPr="000845E1">
              <w:rPr>
                <w:rFonts w:ascii="Times New Roman" w:eastAsia="Times New Roman" w:hAnsi="Times New Roman" w:cs="Times New Roman"/>
                <w:b/>
                <w:bCs/>
                <w:sz w:val="28"/>
                <w:szCs w:val="24"/>
              </w:rPr>
              <w:br/>
            </w:r>
          </w:p>
        </w:tc>
      </w:tr>
      <w:tr w:rsidR="006A7AFF" w:rsidRPr="000845E1" w14:paraId="2BB6B573" w14:textId="77777777" w:rsidTr="00C9166F">
        <w:trPr>
          <w:trHeight w:val="483"/>
          <w:tblCellSpacing w:w="0" w:type="dxa"/>
        </w:trPr>
        <w:tc>
          <w:tcPr>
            <w:tcW w:w="3223" w:type="dxa"/>
            <w:tcMar>
              <w:top w:w="0" w:type="dxa"/>
              <w:left w:w="108" w:type="dxa"/>
              <w:bottom w:w="0" w:type="dxa"/>
              <w:right w:w="108" w:type="dxa"/>
            </w:tcMar>
            <w:hideMark/>
          </w:tcPr>
          <w:p w14:paraId="7ABB6216" w14:textId="545ABAA4" w:rsidR="006A7AFF" w:rsidRPr="000845E1" w:rsidRDefault="006A7AFF" w:rsidP="009677C3">
            <w:pPr>
              <w:spacing w:before="60"/>
              <w:jc w:val="center"/>
              <w:rPr>
                <w:rFonts w:ascii="Times New Roman" w:eastAsia="Times New Roman" w:hAnsi="Times New Roman" w:cs="Times New Roman"/>
                <w:sz w:val="26"/>
                <w:szCs w:val="26"/>
              </w:rPr>
            </w:pPr>
            <w:r w:rsidRPr="000845E1">
              <w:rPr>
                <w:rFonts w:ascii="Times New Roman" w:eastAsia="Times New Roman" w:hAnsi="Times New Roman" w:cs="Times New Roman"/>
                <w:sz w:val="26"/>
                <w:szCs w:val="26"/>
              </w:rPr>
              <w:t>Số:         /</w:t>
            </w:r>
            <w:r w:rsidR="00544EDC" w:rsidRPr="000845E1">
              <w:rPr>
                <w:rFonts w:ascii="Times New Roman" w:eastAsia="Times New Roman" w:hAnsi="Times New Roman" w:cs="Times New Roman"/>
                <w:sz w:val="26"/>
                <w:szCs w:val="26"/>
              </w:rPr>
              <w:t>202</w:t>
            </w:r>
            <w:r w:rsidR="0068114C" w:rsidRPr="000845E1">
              <w:rPr>
                <w:rFonts w:ascii="Times New Roman" w:eastAsia="Times New Roman" w:hAnsi="Times New Roman" w:cs="Times New Roman"/>
                <w:sz w:val="26"/>
                <w:szCs w:val="26"/>
              </w:rPr>
              <w:t>6</w:t>
            </w:r>
            <w:r w:rsidR="00544EDC" w:rsidRPr="000845E1">
              <w:rPr>
                <w:rFonts w:ascii="Times New Roman" w:eastAsia="Times New Roman" w:hAnsi="Times New Roman" w:cs="Times New Roman"/>
                <w:sz w:val="26"/>
                <w:szCs w:val="26"/>
              </w:rPr>
              <w:t>/</w:t>
            </w:r>
            <w:r w:rsidRPr="000845E1">
              <w:rPr>
                <w:rFonts w:ascii="Times New Roman" w:eastAsia="Times New Roman" w:hAnsi="Times New Roman" w:cs="Times New Roman"/>
                <w:sz w:val="26"/>
                <w:szCs w:val="26"/>
              </w:rPr>
              <w:t>NQ-HĐND</w:t>
            </w:r>
          </w:p>
        </w:tc>
        <w:tc>
          <w:tcPr>
            <w:tcW w:w="5849" w:type="dxa"/>
            <w:tcMar>
              <w:top w:w="0" w:type="dxa"/>
              <w:left w:w="108" w:type="dxa"/>
              <w:bottom w:w="0" w:type="dxa"/>
              <w:right w:w="108" w:type="dxa"/>
            </w:tcMar>
            <w:hideMark/>
          </w:tcPr>
          <w:p w14:paraId="01AED890" w14:textId="2DE01907" w:rsidR="006A7AFF" w:rsidRPr="000845E1" w:rsidRDefault="0068114C" w:rsidP="006237C2">
            <w:pPr>
              <w:spacing w:before="60"/>
              <w:jc w:val="center"/>
              <w:rPr>
                <w:rFonts w:ascii="Times New Roman" w:eastAsia="Times New Roman" w:hAnsi="Times New Roman" w:cs="Times New Roman"/>
                <w:sz w:val="26"/>
                <w:szCs w:val="26"/>
              </w:rPr>
            </w:pPr>
            <w:r w:rsidRPr="000845E1">
              <w:rPr>
                <w:rFonts w:ascii="Times New Roman" w:eastAsia="Times New Roman" w:hAnsi="Times New Roman" w:cs="Times New Roman"/>
                <w:i/>
                <w:iCs/>
                <w:sz w:val="26"/>
                <w:szCs w:val="26"/>
              </w:rPr>
              <w:t>Đồng Nai</w:t>
            </w:r>
            <w:r w:rsidR="006A7AFF" w:rsidRPr="000845E1">
              <w:rPr>
                <w:rFonts w:ascii="Times New Roman" w:eastAsia="Times New Roman" w:hAnsi="Times New Roman" w:cs="Times New Roman"/>
                <w:i/>
                <w:iCs/>
                <w:sz w:val="26"/>
                <w:szCs w:val="26"/>
              </w:rPr>
              <w:t xml:space="preserve">, ngày     tháng  </w:t>
            </w:r>
            <w:r w:rsidR="00AD11E9" w:rsidRPr="000845E1">
              <w:rPr>
                <w:rFonts w:ascii="Times New Roman" w:eastAsia="Times New Roman" w:hAnsi="Times New Roman" w:cs="Times New Roman"/>
                <w:i/>
                <w:iCs/>
                <w:sz w:val="26"/>
                <w:szCs w:val="26"/>
              </w:rPr>
              <w:t xml:space="preserve"> </w:t>
            </w:r>
            <w:r w:rsidR="006A7AFF" w:rsidRPr="000845E1">
              <w:rPr>
                <w:rFonts w:ascii="Times New Roman" w:eastAsia="Times New Roman" w:hAnsi="Times New Roman" w:cs="Times New Roman"/>
                <w:i/>
                <w:iCs/>
                <w:sz w:val="26"/>
                <w:szCs w:val="26"/>
              </w:rPr>
              <w:t xml:space="preserve">  năm 202</w:t>
            </w:r>
            <w:r w:rsidR="00A001D6">
              <w:rPr>
                <w:rFonts w:ascii="Times New Roman" w:eastAsia="Times New Roman" w:hAnsi="Times New Roman" w:cs="Times New Roman"/>
                <w:i/>
                <w:iCs/>
                <w:sz w:val="26"/>
                <w:szCs w:val="26"/>
              </w:rPr>
              <w:t>6</w:t>
            </w:r>
          </w:p>
        </w:tc>
      </w:tr>
    </w:tbl>
    <w:p w14:paraId="058E2B82" w14:textId="4E9510DE" w:rsidR="00591547" w:rsidRPr="00591547" w:rsidRDefault="00591547" w:rsidP="006A7AFF">
      <w:pPr>
        <w:keepNext/>
        <w:spacing w:line="276" w:lineRule="auto"/>
        <w:outlineLvl w:val="0"/>
        <w:rPr>
          <w:rFonts w:ascii="Times New Roman" w:eastAsia="Times New Roman" w:hAnsi="Times New Roman" w:cs="Times New Roman"/>
          <w:b/>
          <w:sz w:val="28"/>
          <w:szCs w:val="28"/>
        </w:rPr>
      </w:pPr>
    </w:p>
    <w:tbl>
      <w:tblPr>
        <w:tblStyle w:val="TableGrid"/>
        <w:tblW w:w="0" w:type="auto"/>
        <w:tblLook w:val="04A0" w:firstRow="1" w:lastRow="0" w:firstColumn="1" w:lastColumn="0" w:noHBand="0" w:noVBand="1"/>
      </w:tblPr>
      <w:tblGrid>
        <w:gridCol w:w="1615"/>
      </w:tblGrid>
      <w:tr w:rsidR="00591547" w14:paraId="55BC7EE2" w14:textId="77777777" w:rsidTr="00591547">
        <w:tc>
          <w:tcPr>
            <w:tcW w:w="1615" w:type="dxa"/>
          </w:tcPr>
          <w:p w14:paraId="2205DB58" w14:textId="47B4F754" w:rsidR="00591547" w:rsidRDefault="00591547" w:rsidP="00591547">
            <w:pPr>
              <w:keepNext/>
              <w:spacing w:line="276" w:lineRule="auto"/>
              <w:jc w:val="center"/>
              <w:outlineLvl w:val="0"/>
              <w:rPr>
                <w:rFonts w:ascii="Times New Roman" w:eastAsia="Times New Roman" w:hAnsi="Times New Roman" w:cs="Times New Roman"/>
                <w:b/>
                <w:sz w:val="28"/>
                <w:szCs w:val="28"/>
              </w:rPr>
            </w:pPr>
            <w:r w:rsidRPr="00591547">
              <w:rPr>
                <w:rFonts w:ascii="Times New Roman" w:eastAsia="Times New Roman" w:hAnsi="Times New Roman" w:cs="Times New Roman"/>
                <w:b/>
                <w:sz w:val="28"/>
                <w:szCs w:val="28"/>
              </w:rPr>
              <w:t>DỰ THẢO</w:t>
            </w:r>
          </w:p>
        </w:tc>
      </w:tr>
    </w:tbl>
    <w:p w14:paraId="10A02364" w14:textId="6A7A6C32" w:rsidR="00A5578D" w:rsidRPr="000845E1" w:rsidRDefault="006A7AFF" w:rsidP="00A5578D">
      <w:pPr>
        <w:keepNext/>
        <w:spacing w:before="240" w:line="276" w:lineRule="auto"/>
        <w:jc w:val="center"/>
        <w:outlineLvl w:val="0"/>
        <w:rPr>
          <w:rFonts w:ascii="Times New Roman" w:hAnsi="Times New Roman" w:cs="Times New Roman"/>
          <w:b/>
          <w:bCs/>
          <w:color w:val="000000"/>
          <w:sz w:val="28"/>
          <w:szCs w:val="28"/>
        </w:rPr>
      </w:pPr>
      <w:r w:rsidRPr="000845E1">
        <w:rPr>
          <w:rFonts w:ascii="Times New Roman" w:hAnsi="Times New Roman" w:cs="Times New Roman"/>
          <w:b/>
          <w:bCs/>
          <w:color w:val="000000"/>
          <w:sz w:val="28"/>
          <w:szCs w:val="28"/>
        </w:rPr>
        <w:t>NGHỊ QUYẾT</w:t>
      </w:r>
    </w:p>
    <w:p w14:paraId="13E0F274" w14:textId="7FD5055E" w:rsidR="006A7AFF" w:rsidRPr="000845E1" w:rsidRDefault="00A5578D" w:rsidP="006A7AFF">
      <w:pPr>
        <w:spacing w:line="276" w:lineRule="auto"/>
        <w:jc w:val="center"/>
        <w:rPr>
          <w:rFonts w:ascii="Times New Roman" w:hAnsi="Times New Roman" w:cs="Times New Roman"/>
          <w:b/>
          <w:color w:val="000000"/>
          <w:sz w:val="28"/>
          <w:szCs w:val="28"/>
        </w:rPr>
      </w:pPr>
      <w:r w:rsidRPr="000845E1">
        <w:rPr>
          <w:rFonts w:ascii="Times New Roman" w:hAnsi="Times New Roman" w:cs="Times New Roman"/>
          <w:b/>
          <w:color w:val="000000"/>
          <w:sz w:val="28"/>
          <w:szCs w:val="28"/>
        </w:rPr>
        <w:t xml:space="preserve">Quy định </w:t>
      </w:r>
      <w:r w:rsidR="00F42CD3" w:rsidRPr="000845E1">
        <w:rPr>
          <w:rFonts w:ascii="Times New Roman" w:hAnsi="Times New Roman" w:cs="Times New Roman"/>
          <w:b/>
          <w:color w:val="000000"/>
          <w:sz w:val="28"/>
          <w:szCs w:val="28"/>
        </w:rPr>
        <w:t>tỷ lệ chi phí quản lý</w:t>
      </w:r>
      <w:r w:rsidR="00591547">
        <w:rPr>
          <w:rFonts w:ascii="Times New Roman" w:hAnsi="Times New Roman" w:cs="Times New Roman"/>
          <w:b/>
          <w:color w:val="000000"/>
          <w:sz w:val="28"/>
          <w:szCs w:val="28"/>
        </w:rPr>
        <w:t>; mức chi thù lao cho người trực tiếp chi trả và mức chi phí chi trả cho tổ chức dịch vụ chi trả trợ cấp cho người có công và thân nhân người có công với cách mạng trên địa bàn tỉnh Đồng Nai.</w:t>
      </w:r>
    </w:p>
    <w:p w14:paraId="02D9273D" w14:textId="77777777" w:rsidR="0068114C" w:rsidRPr="000845E1" w:rsidRDefault="0068114C" w:rsidP="006A7AFF">
      <w:pPr>
        <w:spacing w:line="276" w:lineRule="auto"/>
        <w:jc w:val="center"/>
        <w:rPr>
          <w:rFonts w:ascii="Times New Roman" w:eastAsia="Times New Roman" w:hAnsi="Times New Roman" w:cs="Times New Roman"/>
          <w:b/>
          <w:bCs/>
          <w:color w:val="000000"/>
          <w:sz w:val="26"/>
          <w:szCs w:val="24"/>
        </w:rPr>
      </w:pPr>
    </w:p>
    <w:p w14:paraId="2D8A5D7D" w14:textId="3E2763AB" w:rsidR="00784F21" w:rsidRPr="00BD161D" w:rsidRDefault="00BD161D" w:rsidP="00C37CFB">
      <w:pPr>
        <w:widowControl w:val="0"/>
        <w:tabs>
          <w:tab w:val="right" w:leader="dot" w:pos="8640"/>
        </w:tabs>
        <w:autoSpaceDE w:val="0"/>
        <w:autoSpaceDN w:val="0"/>
        <w:spacing w:before="60" w:after="60" w:line="336" w:lineRule="exact"/>
        <w:ind w:firstLine="709"/>
        <w:jc w:val="both"/>
        <w:rPr>
          <w:rFonts w:ascii="Times New Roman" w:eastAsia="Times New Roman" w:hAnsi="Times New Roman" w:cs="Times New Roman"/>
          <w:i/>
          <w:sz w:val="28"/>
          <w:szCs w:val="28"/>
          <w:lang w:val="vi"/>
        </w:rPr>
      </w:pPr>
      <w:r w:rsidRPr="00BD161D">
        <w:rPr>
          <w:rFonts w:ascii="Times New Roman" w:eastAsia="Times New Roman" w:hAnsi="Times New Roman" w:cs="Times New Roman"/>
          <w:i/>
          <w:sz w:val="28"/>
          <w:szCs w:val="28"/>
        </w:rPr>
        <w:t>C</w:t>
      </w:r>
      <w:r w:rsidR="00784F21" w:rsidRPr="00BD161D">
        <w:rPr>
          <w:rFonts w:ascii="Times New Roman" w:eastAsia="Times New Roman" w:hAnsi="Times New Roman" w:cs="Times New Roman"/>
          <w:i/>
          <w:sz w:val="28"/>
          <w:szCs w:val="28"/>
          <w:lang w:val="vi"/>
        </w:rPr>
        <w:t>ăn cứ Luật Tổ chức chính quyền địa phương số 72/2025/QH15;</w:t>
      </w:r>
    </w:p>
    <w:p w14:paraId="30314D2B" w14:textId="77777777" w:rsidR="00784F21" w:rsidRPr="00BD161D" w:rsidRDefault="00784F21" w:rsidP="00C37CFB">
      <w:pPr>
        <w:widowControl w:val="0"/>
        <w:tabs>
          <w:tab w:val="left" w:pos="0"/>
        </w:tabs>
        <w:autoSpaceDE w:val="0"/>
        <w:autoSpaceDN w:val="0"/>
        <w:spacing w:before="60" w:after="60" w:line="336" w:lineRule="exact"/>
        <w:ind w:firstLine="709"/>
        <w:jc w:val="both"/>
        <w:rPr>
          <w:rFonts w:ascii="Times New Roman" w:eastAsia="Times New Roman" w:hAnsi="Times New Roman" w:cs="Times New Roman"/>
          <w:i/>
          <w:iCs/>
          <w:sz w:val="28"/>
          <w:szCs w:val="28"/>
          <w:lang w:val="es-ES"/>
        </w:rPr>
      </w:pPr>
      <w:r w:rsidRPr="00BD161D">
        <w:rPr>
          <w:rFonts w:ascii="Times New Roman" w:eastAsia="Times New Roman" w:hAnsi="Times New Roman" w:cs="Times New Roman"/>
          <w:i/>
          <w:iCs/>
          <w:sz w:val="28"/>
          <w:szCs w:val="28"/>
          <w:lang w:val="es-ES"/>
        </w:rPr>
        <w:t>Căn cứ Luật Ban hành văn bản quy phạm pháp luật số 64/2025/QH15 được sửa đổi, bổ sung bởi số 87/2025/QH15;</w:t>
      </w:r>
    </w:p>
    <w:p w14:paraId="6E6A2C68" w14:textId="77777777" w:rsidR="00784F21" w:rsidRPr="00BD161D" w:rsidRDefault="00784F21" w:rsidP="00C37CFB">
      <w:pPr>
        <w:widowControl w:val="0"/>
        <w:tabs>
          <w:tab w:val="right" w:leader="dot" w:pos="8640"/>
        </w:tabs>
        <w:autoSpaceDE w:val="0"/>
        <w:autoSpaceDN w:val="0"/>
        <w:spacing w:before="60" w:after="60" w:line="336" w:lineRule="exact"/>
        <w:ind w:firstLine="709"/>
        <w:jc w:val="both"/>
        <w:rPr>
          <w:rFonts w:ascii="Times New Roman" w:eastAsia="Times New Roman" w:hAnsi="Times New Roman" w:cs="Times New Roman"/>
          <w:i/>
          <w:sz w:val="28"/>
          <w:szCs w:val="28"/>
          <w:shd w:val="clear" w:color="auto" w:fill="FFFFFF"/>
          <w:lang w:val="es-ES"/>
        </w:rPr>
      </w:pPr>
      <w:r w:rsidRPr="00BD161D">
        <w:rPr>
          <w:rFonts w:ascii="Times New Roman" w:eastAsia="Times New Roman" w:hAnsi="Times New Roman" w:cs="Times New Roman"/>
          <w:i/>
          <w:sz w:val="28"/>
          <w:szCs w:val="28"/>
          <w:lang w:val="pt-BR"/>
        </w:rPr>
        <w:t>Căn cứ Luật Ngân sách nhà nước số</w:t>
      </w:r>
      <w:r w:rsidRPr="00BD161D">
        <w:rPr>
          <w:rFonts w:ascii="Times New Roman" w:eastAsia="Times New Roman" w:hAnsi="Times New Roman" w:cs="Times New Roman"/>
          <w:sz w:val="28"/>
          <w:szCs w:val="28"/>
          <w:lang w:val="vi"/>
        </w:rPr>
        <w:t xml:space="preserve"> </w:t>
      </w:r>
      <w:r w:rsidRPr="00BD161D">
        <w:rPr>
          <w:rFonts w:ascii="Times New Roman" w:eastAsia="Times New Roman" w:hAnsi="Times New Roman" w:cs="Times New Roman"/>
          <w:i/>
          <w:sz w:val="28"/>
          <w:szCs w:val="28"/>
          <w:lang w:val="vi"/>
        </w:rPr>
        <w:t>89/2025/QH15</w:t>
      </w:r>
      <w:r w:rsidRPr="00BD161D">
        <w:rPr>
          <w:rFonts w:ascii="Times New Roman" w:eastAsia="Times New Roman" w:hAnsi="Times New Roman" w:cs="Times New Roman"/>
          <w:i/>
          <w:sz w:val="28"/>
          <w:szCs w:val="28"/>
          <w:shd w:val="clear" w:color="auto" w:fill="FFFFFF"/>
          <w:lang w:val="es-ES"/>
        </w:rPr>
        <w:t>;</w:t>
      </w:r>
    </w:p>
    <w:p w14:paraId="7A367E0D" w14:textId="77777777" w:rsidR="00784F21" w:rsidRPr="00BD161D" w:rsidRDefault="00784F21" w:rsidP="00C37CFB">
      <w:pPr>
        <w:widowControl w:val="0"/>
        <w:tabs>
          <w:tab w:val="right" w:leader="dot" w:pos="8640"/>
        </w:tabs>
        <w:autoSpaceDE w:val="0"/>
        <w:autoSpaceDN w:val="0"/>
        <w:spacing w:before="60" w:after="60" w:line="336" w:lineRule="exact"/>
        <w:ind w:firstLine="709"/>
        <w:jc w:val="both"/>
        <w:rPr>
          <w:rFonts w:ascii="Times New Roman" w:eastAsia="Times New Roman" w:hAnsi="Times New Roman" w:cs="Times New Roman"/>
          <w:i/>
          <w:sz w:val="28"/>
          <w:szCs w:val="28"/>
          <w:lang w:val="es-ES"/>
        </w:rPr>
      </w:pPr>
      <w:r w:rsidRPr="00BD161D">
        <w:rPr>
          <w:rFonts w:ascii="Times New Roman" w:eastAsia="Times New Roman" w:hAnsi="Times New Roman" w:cs="Times New Roman"/>
          <w:i/>
          <w:sz w:val="28"/>
          <w:szCs w:val="28"/>
          <w:lang w:val="es-ES"/>
        </w:rPr>
        <w:t xml:space="preserve">Căn cứ Pháp lệnh số 02/2020/UBTVQH4 của Ủy ban Thường vụ Quốc hội về Ưu đãi người có công với cách mạng; </w:t>
      </w:r>
    </w:p>
    <w:p w14:paraId="178EA4B2" w14:textId="77777777" w:rsidR="00784F21" w:rsidRPr="00BD161D" w:rsidRDefault="00784F21" w:rsidP="00C37CFB">
      <w:pPr>
        <w:widowControl w:val="0"/>
        <w:tabs>
          <w:tab w:val="right" w:leader="dot" w:pos="8640"/>
        </w:tabs>
        <w:autoSpaceDE w:val="0"/>
        <w:autoSpaceDN w:val="0"/>
        <w:spacing w:before="60" w:after="60" w:line="336" w:lineRule="exact"/>
        <w:ind w:firstLine="709"/>
        <w:jc w:val="both"/>
        <w:rPr>
          <w:rFonts w:ascii="Times New Roman" w:eastAsia="Times New Roman" w:hAnsi="Times New Roman" w:cs="Times New Roman"/>
          <w:i/>
          <w:sz w:val="28"/>
          <w:szCs w:val="28"/>
          <w:lang w:val="es-ES"/>
        </w:rPr>
      </w:pPr>
      <w:r w:rsidRPr="00BD161D">
        <w:rPr>
          <w:rFonts w:ascii="Times New Roman" w:eastAsia="Times New Roman" w:hAnsi="Times New Roman" w:cs="Times New Roman"/>
          <w:i/>
          <w:sz w:val="28"/>
          <w:szCs w:val="28"/>
          <w:shd w:val="clear" w:color="auto" w:fill="FFFFFF"/>
          <w:lang w:val="es-ES"/>
        </w:rPr>
        <w:t>Căn cứ Nghị định số 163/2016/NĐ-CP của Chính phủ quy định chi tiết thi hành một số điều của Luật Ngân sách nhà nước</w:t>
      </w:r>
      <w:r w:rsidRPr="00BD161D">
        <w:rPr>
          <w:rFonts w:ascii="Times New Roman" w:eastAsia="Times New Roman" w:hAnsi="Times New Roman" w:cs="Times New Roman"/>
          <w:i/>
          <w:sz w:val="28"/>
          <w:szCs w:val="28"/>
          <w:lang w:val="es-ES"/>
        </w:rPr>
        <w:t>;</w:t>
      </w:r>
    </w:p>
    <w:p w14:paraId="565110C3" w14:textId="77777777" w:rsidR="00784F21" w:rsidRPr="00BD161D" w:rsidRDefault="00784F21" w:rsidP="00C37CFB">
      <w:pPr>
        <w:widowControl w:val="0"/>
        <w:tabs>
          <w:tab w:val="right" w:leader="dot" w:pos="8640"/>
        </w:tabs>
        <w:autoSpaceDE w:val="0"/>
        <w:autoSpaceDN w:val="0"/>
        <w:spacing w:before="60" w:after="60" w:line="336" w:lineRule="exact"/>
        <w:ind w:firstLine="709"/>
        <w:jc w:val="both"/>
        <w:rPr>
          <w:rFonts w:ascii="Times New Roman" w:eastAsia="Times New Roman" w:hAnsi="Times New Roman" w:cs="Times New Roman"/>
          <w:i/>
          <w:sz w:val="28"/>
          <w:szCs w:val="28"/>
          <w:lang w:val="es-ES"/>
        </w:rPr>
      </w:pPr>
      <w:r w:rsidRPr="00BD161D">
        <w:rPr>
          <w:rFonts w:ascii="Times New Roman" w:eastAsia="Times New Roman" w:hAnsi="Times New Roman" w:cs="Times New Roman"/>
          <w:i/>
          <w:sz w:val="28"/>
          <w:szCs w:val="28"/>
          <w:lang w:val="es-ES"/>
        </w:rPr>
        <w:t>Căn cứ Nghị định số 131/2021/NĐ-CP của Chính phủ quy định chi tiết và biện pháp thi hành Pháp lệnh Ưu đãi người có công với cách mạng;</w:t>
      </w:r>
    </w:p>
    <w:p w14:paraId="7EFCE958" w14:textId="6055B9A2" w:rsidR="00784F21" w:rsidRPr="00591547" w:rsidRDefault="00784F21" w:rsidP="00C37CFB">
      <w:pPr>
        <w:widowControl w:val="0"/>
        <w:autoSpaceDE w:val="0"/>
        <w:autoSpaceDN w:val="0"/>
        <w:spacing w:before="60" w:after="60" w:line="336" w:lineRule="exact"/>
        <w:ind w:firstLine="709"/>
        <w:jc w:val="both"/>
        <w:rPr>
          <w:rFonts w:ascii="Times New Roman" w:eastAsia="Times New Roman" w:hAnsi="Times New Roman" w:cs="Times New Roman"/>
          <w:color w:val="000000" w:themeColor="text1"/>
          <w:sz w:val="28"/>
          <w:szCs w:val="28"/>
          <w:lang w:val="vi"/>
        </w:rPr>
      </w:pPr>
      <w:r w:rsidRPr="00591547">
        <w:rPr>
          <w:rFonts w:ascii="Times New Roman" w:eastAsia="Times New Roman" w:hAnsi="Times New Roman" w:cs="Times New Roman"/>
          <w:i/>
          <w:color w:val="000000" w:themeColor="text1"/>
          <w:sz w:val="28"/>
          <w:szCs w:val="28"/>
          <w:lang w:val="sv-SE"/>
        </w:rPr>
        <w:t xml:space="preserve">Căn cứ Nghị định </w:t>
      </w:r>
      <w:r w:rsidR="00823199" w:rsidRPr="00823199">
        <w:rPr>
          <w:rFonts w:ascii="Times New Roman" w:eastAsia="Times New Roman" w:hAnsi="Times New Roman" w:cs="Times New Roman"/>
          <w:i/>
          <w:color w:val="FF0000"/>
          <w:sz w:val="28"/>
          <w:szCs w:val="28"/>
          <w:lang w:val="sv-SE"/>
        </w:rPr>
        <w:t>số</w:t>
      </w:r>
      <w:r w:rsidR="00823199">
        <w:rPr>
          <w:rFonts w:ascii="Times New Roman" w:eastAsia="Times New Roman" w:hAnsi="Times New Roman" w:cs="Times New Roman"/>
          <w:i/>
          <w:color w:val="000000" w:themeColor="text1"/>
          <w:sz w:val="28"/>
          <w:szCs w:val="28"/>
          <w:lang w:val="sv-SE"/>
        </w:rPr>
        <w:t xml:space="preserve"> </w:t>
      </w:r>
      <w:r w:rsidRPr="00591547">
        <w:rPr>
          <w:rFonts w:ascii="Times New Roman" w:eastAsia="Times New Roman" w:hAnsi="Times New Roman" w:cs="Times New Roman"/>
          <w:i/>
          <w:color w:val="000000" w:themeColor="text1"/>
          <w:sz w:val="28"/>
          <w:szCs w:val="28"/>
          <w:lang w:val="sv-SE"/>
        </w:rPr>
        <w:t>78/2025/NĐ-CP</w:t>
      </w:r>
      <w:r w:rsidRPr="00591547">
        <w:rPr>
          <w:rFonts w:ascii="Times New Roman" w:eastAsia="Times New Roman" w:hAnsi="Times New Roman" w:cs="Times New Roman"/>
          <w:i/>
          <w:color w:val="000000" w:themeColor="text1"/>
          <w:sz w:val="28"/>
          <w:szCs w:val="28"/>
          <w:lang w:val="es-ES"/>
        </w:rPr>
        <w:t xml:space="preserve"> quy định chi tiết một số điều và biện pháp</w:t>
      </w:r>
      <w:r w:rsidRPr="00591547">
        <w:rPr>
          <w:rFonts w:ascii="Times New Roman" w:eastAsia="Times New Roman" w:hAnsi="Times New Roman" w:cs="Times New Roman"/>
          <w:i/>
          <w:color w:val="000000" w:themeColor="text1"/>
          <w:sz w:val="28"/>
          <w:szCs w:val="28"/>
          <w:lang w:val="sv-SE"/>
        </w:rPr>
        <w:t xml:space="preserve"> để tổ chức, hướng dẫn thi hành Luật Ban hành văn bản quy phạm pháp luật được sửa đổi, bổ sung bởi Nghị định số </w:t>
      </w:r>
      <w:r w:rsidRPr="00591547">
        <w:rPr>
          <w:rFonts w:ascii="Times New Roman" w:eastAsia="Times New Roman" w:hAnsi="Times New Roman" w:cs="Times New Roman"/>
          <w:i/>
          <w:color w:val="000000" w:themeColor="text1"/>
          <w:sz w:val="28"/>
          <w:szCs w:val="28"/>
          <w:lang w:val="vi"/>
        </w:rPr>
        <w:t>187/2025/NĐ</w:t>
      </w:r>
      <w:r w:rsidRPr="00591547">
        <w:rPr>
          <w:rFonts w:ascii="Times New Roman" w:eastAsia="Times New Roman" w:hAnsi="Times New Roman" w:cs="Times New Roman"/>
          <w:bCs/>
          <w:i/>
          <w:color w:val="000000" w:themeColor="text1"/>
          <w:sz w:val="28"/>
          <w:szCs w:val="28"/>
          <w:lang w:val="es-ES"/>
        </w:rPr>
        <w:t xml:space="preserve">-CP </w:t>
      </w:r>
      <w:r w:rsidRPr="00591547">
        <w:rPr>
          <w:rFonts w:ascii="Times New Roman" w:eastAsia="Times New Roman" w:hAnsi="Times New Roman" w:cs="Times New Roman"/>
          <w:i/>
          <w:color w:val="000000" w:themeColor="text1"/>
          <w:sz w:val="28"/>
          <w:szCs w:val="28"/>
          <w:lang w:val="sv-SE"/>
        </w:rPr>
        <w:t>của Chính;</w:t>
      </w:r>
      <w:r w:rsidRPr="00591547">
        <w:rPr>
          <w:rFonts w:ascii="Times New Roman" w:eastAsia="Times New Roman" w:hAnsi="Times New Roman" w:cs="Times New Roman"/>
          <w:color w:val="000000" w:themeColor="text1"/>
          <w:sz w:val="28"/>
          <w:szCs w:val="28"/>
          <w:lang w:val="vi"/>
        </w:rPr>
        <w:t xml:space="preserve"> </w:t>
      </w:r>
    </w:p>
    <w:p w14:paraId="4790D35F" w14:textId="77777777" w:rsidR="00784F21" w:rsidRPr="00BD161D" w:rsidRDefault="00784F21" w:rsidP="00C37CFB">
      <w:pPr>
        <w:widowControl w:val="0"/>
        <w:shd w:val="clear" w:color="auto" w:fill="FFFFFF"/>
        <w:autoSpaceDE w:val="0"/>
        <w:autoSpaceDN w:val="0"/>
        <w:spacing w:before="60" w:after="60" w:line="336" w:lineRule="exact"/>
        <w:ind w:right="-24" w:firstLine="709"/>
        <w:jc w:val="both"/>
        <w:rPr>
          <w:rFonts w:ascii="Times New Roman" w:eastAsia="Times New Roman" w:hAnsi="Times New Roman" w:cs="Times New Roman"/>
          <w:i/>
          <w:iCs/>
          <w:sz w:val="28"/>
          <w:szCs w:val="28"/>
          <w:lang w:val="vi"/>
        </w:rPr>
      </w:pPr>
      <w:r w:rsidRPr="00BD161D">
        <w:rPr>
          <w:rFonts w:ascii="Times New Roman" w:eastAsia="Times New Roman" w:hAnsi="Times New Roman" w:cs="Times New Roman"/>
          <w:i/>
          <w:iCs/>
          <w:sz w:val="28"/>
          <w:szCs w:val="28"/>
          <w:lang w:val="vi"/>
        </w:rPr>
        <w:t>Căn cứ Nghị định số 128/2025/NĐ-CP của Chính phủ ban hành quy định về phân quyền, phân cấp quản lý nhà nước trong lĩnh vực nội vụ;</w:t>
      </w:r>
    </w:p>
    <w:p w14:paraId="1A09CDD6" w14:textId="77777777" w:rsidR="00784F21" w:rsidRPr="00BD161D" w:rsidRDefault="00784F21" w:rsidP="00C37CFB">
      <w:pPr>
        <w:widowControl w:val="0"/>
        <w:shd w:val="clear" w:color="auto" w:fill="FFFFFF"/>
        <w:autoSpaceDE w:val="0"/>
        <w:autoSpaceDN w:val="0"/>
        <w:spacing w:before="60" w:after="60" w:line="336" w:lineRule="exact"/>
        <w:ind w:right="-24" w:firstLine="709"/>
        <w:jc w:val="both"/>
        <w:rPr>
          <w:rFonts w:ascii="Times New Roman" w:hAnsi="Times New Roman" w:cs="Times New Roman"/>
          <w:i/>
          <w:iCs/>
          <w:sz w:val="28"/>
          <w:szCs w:val="28"/>
          <w:lang w:val="vi"/>
        </w:rPr>
      </w:pPr>
      <w:r w:rsidRPr="00BD161D">
        <w:rPr>
          <w:rFonts w:ascii="Times New Roman" w:eastAsia="Times New Roman" w:hAnsi="Times New Roman" w:cs="Times New Roman"/>
          <w:i/>
          <w:iCs/>
          <w:sz w:val="28"/>
          <w:szCs w:val="28"/>
          <w:lang w:val="vi"/>
        </w:rPr>
        <w:t>Căn cứ Nghị định số 129/2025/NĐ-CP của Chính phủ quy định về phân định thẩm quyền của chính quyền địa phương 02 cấp trong lĩnh vực quản lý nhà nước của Bộ Nội vụ;</w:t>
      </w:r>
    </w:p>
    <w:p w14:paraId="052A5AEB" w14:textId="77777777" w:rsidR="00784F21" w:rsidRPr="00BD161D" w:rsidRDefault="00784F21" w:rsidP="00C37CFB">
      <w:pPr>
        <w:spacing w:before="60" w:after="60" w:line="336" w:lineRule="exact"/>
        <w:ind w:firstLine="709"/>
        <w:jc w:val="both"/>
        <w:rPr>
          <w:rFonts w:ascii="Times New Roman" w:hAnsi="Times New Roman" w:cs="Times New Roman"/>
          <w:i/>
          <w:sz w:val="28"/>
          <w:szCs w:val="28"/>
          <w:lang w:val="vi"/>
        </w:rPr>
      </w:pPr>
      <w:r w:rsidRPr="00BD161D">
        <w:rPr>
          <w:rFonts w:ascii="Times New Roman" w:hAnsi="Times New Roman" w:cs="Times New Roman"/>
          <w:i/>
          <w:iCs/>
          <w:sz w:val="28"/>
          <w:szCs w:val="28"/>
          <w:lang w:val="vi"/>
        </w:rPr>
        <w:t xml:space="preserve">Căn cứ Nghị định số 75/2021/NĐ-CP quy định mức hưởng trợ cấp, phụ cấp và các chế độ ưu đãi người có công với cách mạng được sửa đổi, bổ sung bởi Nghị định </w:t>
      </w:r>
      <w:r w:rsidRPr="00BD161D">
        <w:rPr>
          <w:rFonts w:ascii="Times New Roman" w:eastAsia="Times New Roman" w:hAnsi="Times New Roman" w:cs="Times New Roman"/>
          <w:i/>
          <w:sz w:val="28"/>
          <w:szCs w:val="28"/>
          <w:lang w:val="vi"/>
        </w:rPr>
        <w:t>số 55/2023/NĐ-CP</w:t>
      </w:r>
      <w:r w:rsidRPr="00BD161D">
        <w:rPr>
          <w:rFonts w:ascii="Times New Roman" w:hAnsi="Times New Roman" w:cs="Times New Roman"/>
          <w:i/>
          <w:sz w:val="28"/>
          <w:szCs w:val="28"/>
          <w:lang w:val="vi"/>
        </w:rPr>
        <w:t xml:space="preserve"> của Chính phủ, Nghị định 77/2024/NĐ-CP của Chính phủ;</w:t>
      </w:r>
    </w:p>
    <w:p w14:paraId="39785E1A" w14:textId="77777777" w:rsidR="00591547" w:rsidRPr="00093A5C" w:rsidRDefault="00784F21" w:rsidP="00C37CFB">
      <w:pPr>
        <w:spacing w:before="60" w:after="60" w:line="336" w:lineRule="exact"/>
        <w:ind w:firstLine="709"/>
        <w:jc w:val="both"/>
        <w:rPr>
          <w:rFonts w:ascii="Times New Roman" w:hAnsi="Times New Roman" w:cs="Times New Roman"/>
          <w:i/>
          <w:iCs/>
          <w:sz w:val="28"/>
          <w:szCs w:val="28"/>
          <w:lang w:val="vi"/>
        </w:rPr>
      </w:pPr>
      <w:r w:rsidRPr="00BD161D">
        <w:rPr>
          <w:rFonts w:ascii="Times New Roman" w:hAnsi="Times New Roman" w:cs="Times New Roman"/>
          <w:i/>
          <w:iCs/>
          <w:sz w:val="28"/>
          <w:szCs w:val="28"/>
          <w:lang w:val="vi"/>
        </w:rPr>
        <w:t>Căn cứ Thông tư số 44/2022/TT-BTC của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14:paraId="76921F7D" w14:textId="1FD7B335" w:rsidR="00784F21" w:rsidRPr="00093A5C" w:rsidRDefault="00AF01FA" w:rsidP="00C37CFB">
      <w:pPr>
        <w:widowControl w:val="0"/>
        <w:tabs>
          <w:tab w:val="right" w:leader="dot" w:pos="8640"/>
        </w:tabs>
        <w:autoSpaceDE w:val="0"/>
        <w:autoSpaceDN w:val="0"/>
        <w:spacing w:before="60" w:after="60" w:line="340" w:lineRule="exact"/>
        <w:ind w:firstLine="709"/>
        <w:jc w:val="both"/>
        <w:rPr>
          <w:rFonts w:ascii="Times New Roman" w:hAnsi="Times New Roman" w:cs="Times New Roman"/>
          <w:i/>
          <w:iCs/>
          <w:sz w:val="28"/>
          <w:szCs w:val="28"/>
          <w:lang w:val="vi"/>
        </w:rPr>
      </w:pPr>
      <w:r w:rsidRPr="00093A5C">
        <w:rPr>
          <w:rFonts w:ascii="Times New Roman" w:hAnsi="Times New Roman" w:cs="Times New Roman"/>
          <w:i/>
          <w:iCs/>
          <w:sz w:val="28"/>
          <w:szCs w:val="28"/>
          <w:lang w:val="vi"/>
        </w:rPr>
        <w:t xml:space="preserve">Căn cứ </w:t>
      </w:r>
      <w:r w:rsidRPr="00AF01FA">
        <w:rPr>
          <w:rFonts w:ascii="Times New Roman" w:hAnsi="Times New Roman" w:cs="Times New Roman"/>
          <w:i/>
          <w:iCs/>
          <w:sz w:val="28"/>
          <w:szCs w:val="28"/>
          <w:lang w:val="vi"/>
        </w:rPr>
        <w:t xml:space="preserve">Thông tư số 95/2025/TT-BTC về việc sửa đổi, bổ sung một số điều của Thông tư số 44/2022/TT-BTC ngày 21/7/2022 của Bộ Tài chính quy định quản lý và sử dụng chi thường xuyên thực hiện chính sách, chế độ ưu đãi người có công </w:t>
      </w:r>
      <w:r w:rsidRPr="00AF01FA">
        <w:rPr>
          <w:rFonts w:ascii="Times New Roman" w:hAnsi="Times New Roman" w:cs="Times New Roman"/>
          <w:i/>
          <w:iCs/>
          <w:sz w:val="28"/>
          <w:szCs w:val="28"/>
          <w:lang w:val="vi"/>
        </w:rPr>
        <w:lastRenderedPageBreak/>
        <w:t>với cách mạng, thân nhân người có công với cách mạng và người trực tiếp tham gia kháng chiến do ngành Lao động - Thương binh và Xã hội quản lý</w:t>
      </w:r>
      <w:r w:rsidRPr="00093A5C">
        <w:rPr>
          <w:rFonts w:ascii="Times New Roman" w:hAnsi="Times New Roman" w:cs="Times New Roman"/>
          <w:i/>
          <w:iCs/>
          <w:sz w:val="28"/>
          <w:szCs w:val="28"/>
          <w:lang w:val="vi"/>
        </w:rPr>
        <w:t>;</w:t>
      </w:r>
    </w:p>
    <w:p w14:paraId="2F50E70D" w14:textId="06D72204" w:rsidR="00EB4B72" w:rsidRPr="00BD161D" w:rsidRDefault="00EB4B72" w:rsidP="00C37CFB">
      <w:pPr>
        <w:suppressAutoHyphens/>
        <w:spacing w:before="60" w:after="60" w:line="340" w:lineRule="exact"/>
        <w:ind w:firstLine="709"/>
        <w:jc w:val="both"/>
        <w:rPr>
          <w:rFonts w:ascii="Times New Roman" w:eastAsia="Times New Roman" w:hAnsi="Times New Roman" w:cs="Times New Roman"/>
          <w:i/>
          <w:sz w:val="28"/>
          <w:szCs w:val="28"/>
          <w:lang w:val="vi" w:eastAsia="en-GB"/>
        </w:rPr>
      </w:pPr>
      <w:r w:rsidRPr="00BD161D">
        <w:rPr>
          <w:rFonts w:ascii="Times New Roman" w:eastAsia="Times New Roman" w:hAnsi="Times New Roman" w:cs="Times New Roman"/>
          <w:i/>
          <w:sz w:val="28"/>
          <w:szCs w:val="28"/>
          <w:lang w:val="vi"/>
        </w:rPr>
        <w:t xml:space="preserve">Xét Tờ trình số     </w:t>
      </w:r>
      <w:hyperlink r:id="rId9" w:tgtFrame="_blank" w:history="1">
        <w:r w:rsidRPr="00BD161D">
          <w:rPr>
            <w:rFonts w:ascii="Times New Roman" w:eastAsia="Times New Roman" w:hAnsi="Times New Roman" w:cs="Times New Roman"/>
            <w:i/>
            <w:sz w:val="28"/>
            <w:szCs w:val="28"/>
            <w:lang w:val="vi"/>
          </w:rPr>
          <w:t>/TTr-UBND</w:t>
        </w:r>
      </w:hyperlink>
      <w:r w:rsidRPr="00BD161D">
        <w:rPr>
          <w:rFonts w:ascii="Times New Roman" w:eastAsia="Times New Roman" w:hAnsi="Times New Roman" w:cs="Times New Roman"/>
          <w:i/>
          <w:sz w:val="28"/>
          <w:szCs w:val="28"/>
          <w:lang w:val="vi"/>
        </w:rPr>
        <w:t xml:space="preserve"> ngày </w:t>
      </w:r>
      <w:r w:rsidR="00FD1C81" w:rsidRPr="00BD161D">
        <w:rPr>
          <w:rFonts w:ascii="Times New Roman" w:eastAsia="Times New Roman" w:hAnsi="Times New Roman" w:cs="Times New Roman"/>
          <w:i/>
          <w:sz w:val="28"/>
          <w:szCs w:val="28"/>
          <w:lang w:val="vi"/>
        </w:rPr>
        <w:t xml:space="preserve"> </w:t>
      </w:r>
      <w:r w:rsidRPr="00BD161D">
        <w:rPr>
          <w:rFonts w:ascii="Times New Roman" w:eastAsia="Times New Roman" w:hAnsi="Times New Roman" w:cs="Times New Roman"/>
          <w:i/>
          <w:sz w:val="28"/>
          <w:szCs w:val="28"/>
          <w:lang w:val="vi"/>
        </w:rPr>
        <w:t xml:space="preserve">  tháng </w:t>
      </w:r>
      <w:r w:rsidR="00823199">
        <w:rPr>
          <w:rFonts w:ascii="Times New Roman" w:eastAsia="Times New Roman" w:hAnsi="Times New Roman" w:cs="Times New Roman"/>
          <w:i/>
          <w:sz w:val="28"/>
          <w:szCs w:val="28"/>
        </w:rPr>
        <w:t xml:space="preserve">  </w:t>
      </w:r>
      <w:r w:rsidRPr="00BD161D">
        <w:rPr>
          <w:rFonts w:ascii="Times New Roman" w:eastAsia="Times New Roman" w:hAnsi="Times New Roman" w:cs="Times New Roman"/>
          <w:i/>
          <w:sz w:val="28"/>
          <w:szCs w:val="28"/>
          <w:lang w:val="vi"/>
        </w:rPr>
        <w:t xml:space="preserve"> năm 202</w:t>
      </w:r>
      <w:r w:rsidR="0068114C" w:rsidRPr="00BD161D">
        <w:rPr>
          <w:rFonts w:ascii="Times New Roman" w:eastAsia="Times New Roman" w:hAnsi="Times New Roman" w:cs="Times New Roman"/>
          <w:i/>
          <w:sz w:val="28"/>
          <w:szCs w:val="28"/>
          <w:lang w:val="vi"/>
        </w:rPr>
        <w:t>6</w:t>
      </w:r>
      <w:r w:rsidRPr="00BD161D">
        <w:rPr>
          <w:rFonts w:ascii="Times New Roman" w:eastAsia="Times New Roman" w:hAnsi="Times New Roman" w:cs="Times New Roman"/>
          <w:i/>
          <w:sz w:val="28"/>
          <w:szCs w:val="28"/>
          <w:lang w:val="vi"/>
        </w:rPr>
        <w:t xml:space="preserve"> của Ủy ban nhân dân tỉnh; </w:t>
      </w:r>
      <w:r w:rsidRPr="00BD161D">
        <w:rPr>
          <w:rFonts w:ascii="Times New Roman" w:eastAsia="Times New Roman" w:hAnsi="Times New Roman" w:cs="Times New Roman"/>
          <w:i/>
          <w:sz w:val="28"/>
          <w:szCs w:val="28"/>
          <w:lang w:val="vi" w:eastAsia="en-GB"/>
        </w:rPr>
        <w:t>Báo cáo thẩm tra</w:t>
      </w:r>
      <w:r w:rsidR="00AF01FA" w:rsidRPr="00093A5C">
        <w:rPr>
          <w:rFonts w:ascii="Times New Roman" w:eastAsia="Times New Roman" w:hAnsi="Times New Roman" w:cs="Times New Roman"/>
          <w:i/>
          <w:sz w:val="28"/>
          <w:szCs w:val="28"/>
          <w:lang w:val="vi" w:eastAsia="en-GB"/>
        </w:rPr>
        <w:t xml:space="preserve"> số</w:t>
      </w:r>
      <w:r w:rsidR="00823199">
        <w:rPr>
          <w:rFonts w:ascii="Times New Roman" w:eastAsia="Times New Roman" w:hAnsi="Times New Roman" w:cs="Times New Roman"/>
          <w:i/>
          <w:sz w:val="28"/>
          <w:szCs w:val="28"/>
          <w:lang w:eastAsia="en-GB"/>
        </w:rPr>
        <w:t xml:space="preserve">     </w:t>
      </w:r>
      <w:r w:rsidR="00AF01FA" w:rsidRPr="00093A5C">
        <w:rPr>
          <w:rFonts w:ascii="Times New Roman" w:eastAsia="Times New Roman" w:hAnsi="Times New Roman" w:cs="Times New Roman"/>
          <w:i/>
          <w:sz w:val="28"/>
          <w:szCs w:val="28"/>
          <w:lang w:val="vi" w:eastAsia="en-GB"/>
        </w:rPr>
        <w:t>ngày</w:t>
      </w:r>
      <w:r w:rsidR="00823199">
        <w:rPr>
          <w:rFonts w:ascii="Times New Roman" w:eastAsia="Times New Roman" w:hAnsi="Times New Roman" w:cs="Times New Roman"/>
          <w:i/>
          <w:sz w:val="28"/>
          <w:szCs w:val="28"/>
          <w:lang w:eastAsia="en-GB"/>
        </w:rPr>
        <w:t xml:space="preserve">    </w:t>
      </w:r>
      <w:r w:rsidRPr="00BD161D">
        <w:rPr>
          <w:rFonts w:ascii="Times New Roman" w:eastAsia="Times New Roman" w:hAnsi="Times New Roman" w:cs="Times New Roman"/>
          <w:i/>
          <w:sz w:val="28"/>
          <w:szCs w:val="28"/>
          <w:lang w:val="vi" w:eastAsia="en-GB"/>
        </w:rPr>
        <w:t xml:space="preserve">của Ban </w:t>
      </w:r>
      <w:r w:rsidR="00E736F8" w:rsidRPr="00BD161D">
        <w:rPr>
          <w:rFonts w:ascii="Times New Roman" w:eastAsia="Times New Roman" w:hAnsi="Times New Roman" w:cs="Times New Roman"/>
          <w:i/>
          <w:sz w:val="28"/>
          <w:szCs w:val="28"/>
          <w:lang w:val="vi" w:eastAsia="en-GB"/>
        </w:rPr>
        <w:t>Pháp chế</w:t>
      </w:r>
      <w:r w:rsidRPr="00BD161D">
        <w:rPr>
          <w:rFonts w:ascii="Times New Roman" w:eastAsia="Times New Roman" w:hAnsi="Times New Roman" w:cs="Times New Roman"/>
          <w:i/>
          <w:sz w:val="28"/>
          <w:szCs w:val="28"/>
          <w:lang w:val="vi" w:eastAsia="en-GB"/>
        </w:rPr>
        <w:t xml:space="preserve"> Hội đồng nhân dân tỉnh; ý kiến thảo luận của đại biểu Hội đồng nhân dân tỉnh tại kỳ họp.</w:t>
      </w:r>
    </w:p>
    <w:p w14:paraId="59FA1868" w14:textId="77777777" w:rsidR="00AF01FA" w:rsidRPr="00093A5C" w:rsidRDefault="008E22BA" w:rsidP="00823199">
      <w:pPr>
        <w:spacing w:before="60" w:after="160" w:line="340" w:lineRule="exact"/>
        <w:ind w:firstLine="709"/>
        <w:jc w:val="both"/>
        <w:rPr>
          <w:rFonts w:ascii="Times New Roman" w:hAnsi="Times New Roman" w:cs="Times New Roman"/>
          <w:i/>
          <w:color w:val="000000"/>
          <w:sz w:val="28"/>
          <w:szCs w:val="28"/>
          <w:lang w:val="vi"/>
        </w:rPr>
      </w:pPr>
      <w:r w:rsidRPr="00093A5C">
        <w:rPr>
          <w:rFonts w:ascii="Times New Roman" w:hAnsi="Times New Roman" w:cs="Times New Roman"/>
          <w:i/>
          <w:sz w:val="28"/>
          <w:szCs w:val="28"/>
          <w:shd w:val="clear" w:color="auto" w:fill="FFFFFF"/>
          <w:lang w:val="vi"/>
        </w:rPr>
        <w:t>Hội đồng nhân dân</w:t>
      </w:r>
      <w:r w:rsidR="008C53E0" w:rsidRPr="00093A5C">
        <w:rPr>
          <w:rFonts w:ascii="Times New Roman" w:hAnsi="Times New Roman" w:cs="Times New Roman"/>
          <w:i/>
          <w:sz w:val="28"/>
          <w:szCs w:val="28"/>
          <w:shd w:val="clear" w:color="auto" w:fill="FFFFFF"/>
          <w:lang w:val="vi"/>
        </w:rPr>
        <w:t xml:space="preserve"> tỉnh</w:t>
      </w:r>
      <w:r w:rsidRPr="00093A5C">
        <w:rPr>
          <w:rFonts w:ascii="Times New Roman" w:hAnsi="Times New Roman" w:cs="Times New Roman"/>
          <w:i/>
          <w:sz w:val="28"/>
          <w:szCs w:val="28"/>
          <w:shd w:val="clear" w:color="auto" w:fill="FFFFFF"/>
          <w:lang w:val="vi"/>
        </w:rPr>
        <w:t xml:space="preserve"> ban hành Nghị quyết </w:t>
      </w:r>
      <w:r w:rsidR="00AF01FA" w:rsidRPr="00093A5C">
        <w:rPr>
          <w:rFonts w:ascii="Times New Roman" w:hAnsi="Times New Roman" w:cs="Times New Roman"/>
          <w:i/>
          <w:color w:val="000000"/>
          <w:sz w:val="28"/>
          <w:szCs w:val="28"/>
          <w:lang w:val="vi"/>
        </w:rPr>
        <w:t>Quy định tỷ lệ chi phí quản lý; mức chi thù lao cho người trực tiếp chi trả và mức chi phí chi trả cho tổ chức dịch vụ chi trả trợ cấp cho người có công và thân nhân người có công với cách mạng trên địa bàn tỉnh Đồng Nai.</w:t>
      </w:r>
    </w:p>
    <w:p w14:paraId="224BEDFC" w14:textId="468808A6" w:rsidR="00B424E7" w:rsidRPr="00093A5C" w:rsidRDefault="0070058F" w:rsidP="00C37CFB">
      <w:pPr>
        <w:spacing w:before="60" w:after="60" w:line="340" w:lineRule="exact"/>
        <w:ind w:firstLine="709"/>
        <w:jc w:val="both"/>
        <w:rPr>
          <w:rFonts w:ascii="Times New Roman" w:eastAsia="Times New Roman" w:hAnsi="Times New Roman" w:cs="Times New Roman"/>
          <w:b/>
          <w:sz w:val="28"/>
          <w:szCs w:val="28"/>
          <w:lang w:val="vi"/>
        </w:rPr>
      </w:pPr>
      <w:bookmarkStart w:id="0" w:name="dieu_1"/>
      <w:r w:rsidRPr="00093A5C">
        <w:rPr>
          <w:rFonts w:ascii="Times New Roman" w:eastAsia="Times New Roman" w:hAnsi="Times New Roman" w:cs="Times New Roman"/>
          <w:b/>
          <w:sz w:val="28"/>
          <w:szCs w:val="28"/>
          <w:lang w:val="vi"/>
        </w:rPr>
        <w:t>Điều 1.</w:t>
      </w:r>
      <w:bookmarkEnd w:id="0"/>
      <w:r w:rsidR="00B424E7" w:rsidRPr="00093A5C">
        <w:rPr>
          <w:rFonts w:ascii="Times New Roman" w:eastAsia="Times New Roman" w:hAnsi="Times New Roman" w:cs="Times New Roman"/>
          <w:b/>
          <w:sz w:val="28"/>
          <w:szCs w:val="28"/>
          <w:lang w:val="vi"/>
        </w:rPr>
        <w:t xml:space="preserve"> Phạm vi điều chỉnh</w:t>
      </w:r>
      <w:r w:rsidR="00EA203A" w:rsidRPr="00093A5C">
        <w:rPr>
          <w:rFonts w:ascii="Times New Roman" w:eastAsia="Times New Roman" w:hAnsi="Times New Roman" w:cs="Times New Roman"/>
          <w:b/>
          <w:sz w:val="28"/>
          <w:szCs w:val="28"/>
          <w:lang w:val="vi"/>
        </w:rPr>
        <w:t xml:space="preserve"> và đối tượng áp dụng</w:t>
      </w:r>
    </w:p>
    <w:p w14:paraId="6BC09B53" w14:textId="77490AB8" w:rsidR="00EA203A" w:rsidRPr="00C37CFB" w:rsidRDefault="00EA203A" w:rsidP="00C37CFB">
      <w:pPr>
        <w:spacing w:before="60" w:after="60" w:line="340" w:lineRule="exact"/>
        <w:ind w:firstLine="709"/>
        <w:jc w:val="both"/>
        <w:rPr>
          <w:rFonts w:ascii="Times New Roman" w:eastAsia="Times New Roman" w:hAnsi="Times New Roman" w:cs="Times New Roman"/>
          <w:sz w:val="28"/>
          <w:szCs w:val="28"/>
        </w:rPr>
      </w:pPr>
      <w:r w:rsidRPr="00093A5C">
        <w:rPr>
          <w:rFonts w:ascii="Times New Roman" w:eastAsia="Times New Roman" w:hAnsi="Times New Roman" w:cs="Times New Roman"/>
          <w:sz w:val="28"/>
          <w:szCs w:val="28"/>
          <w:lang w:val="vi"/>
        </w:rPr>
        <w:t>1. Phạm vi điều chỉnh</w:t>
      </w:r>
    </w:p>
    <w:p w14:paraId="3BA45861" w14:textId="6C149995" w:rsidR="00F314E8" w:rsidRPr="00093A5C" w:rsidRDefault="00926BE5" w:rsidP="00C37CFB">
      <w:pPr>
        <w:shd w:val="clear" w:color="auto" w:fill="FFFFFF"/>
        <w:spacing w:before="60" w:after="60" w:line="340" w:lineRule="exact"/>
        <w:ind w:firstLine="709"/>
        <w:jc w:val="both"/>
        <w:textAlignment w:val="baseline"/>
        <w:rPr>
          <w:rFonts w:ascii="Times New Roman" w:eastAsia="Times New Roman" w:hAnsi="Times New Roman" w:cs="Times New Roman"/>
          <w:color w:val="000000"/>
          <w:sz w:val="28"/>
          <w:szCs w:val="28"/>
          <w:bdr w:val="none" w:sz="0" w:space="0" w:color="auto" w:frame="1"/>
          <w:lang w:val="vi"/>
        </w:rPr>
      </w:pPr>
      <w:r w:rsidRPr="005D7D00">
        <w:rPr>
          <w:rFonts w:ascii="Times New Roman" w:hAnsi="Times New Roman" w:cs="Times New Roman"/>
          <w:spacing w:val="-4"/>
          <w:sz w:val="28"/>
          <w:szCs w:val="28"/>
          <w:lang w:val="vi"/>
        </w:rPr>
        <w:t xml:space="preserve">Nghị quyết này quy định </w:t>
      </w:r>
      <w:r w:rsidR="00A87C61" w:rsidRPr="005D7D00">
        <w:rPr>
          <w:rFonts w:ascii="Times New Roman" w:hAnsi="Times New Roman" w:cs="Times New Roman"/>
          <w:spacing w:val="-4"/>
          <w:sz w:val="28"/>
          <w:szCs w:val="28"/>
          <w:lang w:val="vi"/>
        </w:rPr>
        <w:t>chi tiết tại điểm a và điểm b</w:t>
      </w:r>
      <w:r w:rsidR="00B24A80" w:rsidRPr="005D7D00">
        <w:rPr>
          <w:rFonts w:ascii="Times New Roman" w:hAnsi="Times New Roman" w:cs="Times New Roman"/>
          <w:spacing w:val="-4"/>
          <w:sz w:val="28"/>
          <w:szCs w:val="28"/>
          <w:lang w:val="vi"/>
        </w:rPr>
        <w:t xml:space="preserve"> khoản </w:t>
      </w:r>
      <w:r w:rsidR="005D7D00" w:rsidRPr="005D7D00">
        <w:rPr>
          <w:rFonts w:ascii="Times New Roman" w:hAnsi="Times New Roman" w:cs="Times New Roman"/>
          <w:spacing w:val="-4"/>
          <w:sz w:val="28"/>
          <w:szCs w:val="28"/>
        </w:rPr>
        <w:t>3</w:t>
      </w:r>
      <w:r w:rsidR="00B24A80" w:rsidRPr="005D7D00">
        <w:rPr>
          <w:rFonts w:ascii="Times New Roman" w:hAnsi="Times New Roman" w:cs="Times New Roman"/>
          <w:spacing w:val="-4"/>
          <w:sz w:val="28"/>
          <w:szCs w:val="28"/>
          <w:lang w:val="vi"/>
        </w:rPr>
        <w:t xml:space="preserve"> Điều </w:t>
      </w:r>
      <w:r w:rsidR="005D7D00" w:rsidRPr="005D7D00">
        <w:rPr>
          <w:rFonts w:ascii="Times New Roman" w:hAnsi="Times New Roman" w:cs="Times New Roman"/>
          <w:spacing w:val="-4"/>
          <w:sz w:val="28"/>
          <w:szCs w:val="28"/>
        </w:rPr>
        <w:t>1</w:t>
      </w:r>
      <w:r w:rsidR="00B24A80" w:rsidRPr="005D7D00">
        <w:rPr>
          <w:rFonts w:ascii="Times New Roman" w:hAnsi="Times New Roman" w:cs="Times New Roman"/>
          <w:spacing w:val="-4"/>
          <w:sz w:val="28"/>
          <w:szCs w:val="28"/>
          <w:lang w:val="vi"/>
        </w:rPr>
        <w:t xml:space="preserve"> Thông tư 95/2025/TT-BTC</w:t>
      </w:r>
      <w:r w:rsidR="00A87C61" w:rsidRPr="005D7D00">
        <w:rPr>
          <w:rFonts w:ascii="Times New Roman" w:hAnsi="Times New Roman" w:cs="Times New Roman"/>
          <w:spacing w:val="-4"/>
          <w:sz w:val="28"/>
          <w:szCs w:val="28"/>
          <w:lang w:val="vi"/>
        </w:rPr>
        <w:t xml:space="preserve"> </w:t>
      </w:r>
      <w:r w:rsidR="00F75AE9" w:rsidRPr="005D7D00">
        <w:rPr>
          <w:rFonts w:ascii="Times New Roman" w:hAnsi="Times New Roman" w:cs="Times New Roman"/>
          <w:spacing w:val="-4"/>
          <w:sz w:val="28"/>
          <w:szCs w:val="28"/>
          <w:lang w:val="vi"/>
        </w:rPr>
        <w:t>s</w:t>
      </w:r>
      <w:r w:rsidR="00A87C61" w:rsidRPr="005D7D00">
        <w:rPr>
          <w:rFonts w:ascii="Times New Roman" w:hAnsi="Times New Roman" w:cs="Times New Roman"/>
          <w:spacing w:val="-4"/>
          <w:sz w:val="28"/>
          <w:szCs w:val="28"/>
          <w:lang w:val="vi"/>
        </w:rPr>
        <w:t>ửa đổi, bổ sung một số Điều của Thông tư số 44/2022/TT-BTC</w:t>
      </w:r>
      <w:r w:rsidR="00A87C61" w:rsidRPr="005D7D00">
        <w:rPr>
          <w:rFonts w:ascii="Times New Roman" w:hAnsi="Times New Roman" w:cs="Times New Roman"/>
          <w:sz w:val="28"/>
          <w:szCs w:val="28"/>
          <w:lang w:val="vi"/>
        </w:rPr>
        <w:t xml:space="preserve"> của Bộ trưởng Bộ Tài chính Quy định quản lý và sử dụng kinh phí chi thường xuyên thực hiện chính sách, chế đ</w:t>
      </w:r>
      <w:r w:rsidR="00CB6490" w:rsidRPr="005D7D00">
        <w:rPr>
          <w:rFonts w:ascii="Times New Roman" w:hAnsi="Times New Roman" w:cs="Times New Roman"/>
          <w:sz w:val="28"/>
          <w:szCs w:val="28"/>
          <w:lang w:val="vi"/>
        </w:rPr>
        <w:t>ộ</w:t>
      </w:r>
      <w:r w:rsidR="00A87C61" w:rsidRPr="005D7D00">
        <w:rPr>
          <w:rFonts w:ascii="Times New Roman" w:hAnsi="Times New Roman" w:cs="Times New Roman"/>
          <w:sz w:val="28"/>
          <w:szCs w:val="28"/>
          <w:lang w:val="vi"/>
        </w:rPr>
        <w:t xml:space="preserve"> ưu đãi người có công với cách mạng, thân nhân người có công với cách mạng và người trực tiếp tham gia kháng</w:t>
      </w:r>
      <w:r w:rsidR="00A87C61" w:rsidRPr="00093A5C">
        <w:rPr>
          <w:rFonts w:ascii="Times New Roman" w:hAnsi="Times New Roman" w:cs="Times New Roman"/>
          <w:sz w:val="28"/>
          <w:szCs w:val="28"/>
          <w:lang w:val="vi"/>
        </w:rPr>
        <w:t xml:space="preserve"> chiến do ngành Lao động </w:t>
      </w:r>
      <w:r w:rsidR="00CD6B1B" w:rsidRPr="00093A5C">
        <w:rPr>
          <w:rFonts w:ascii="Times New Roman" w:hAnsi="Times New Roman" w:cs="Times New Roman"/>
          <w:sz w:val="28"/>
          <w:szCs w:val="28"/>
          <w:lang w:val="vi"/>
        </w:rPr>
        <w:t>-</w:t>
      </w:r>
      <w:r w:rsidR="00A87C61" w:rsidRPr="00093A5C">
        <w:rPr>
          <w:rFonts w:ascii="Times New Roman" w:hAnsi="Times New Roman" w:cs="Times New Roman"/>
          <w:sz w:val="28"/>
          <w:szCs w:val="28"/>
          <w:lang w:val="vi"/>
        </w:rPr>
        <w:t xml:space="preserve"> Thương binh và Xã hội quản lý, gồm: Tỷ lệ chi </w:t>
      </w:r>
      <w:r w:rsidR="00A87C61" w:rsidRPr="00093A5C">
        <w:rPr>
          <w:rFonts w:ascii="Times New Roman" w:hAnsi="Times New Roman" w:cs="Times New Roman"/>
          <w:color w:val="000000" w:themeColor="text1"/>
          <w:sz w:val="28"/>
          <w:szCs w:val="28"/>
          <w:shd w:val="clear" w:color="auto" w:fill="FFFFFF"/>
          <w:lang w:val="vi"/>
        </w:rPr>
        <w:t xml:space="preserve">phí quản lý để thực hiện các hoạt động nghiệp vụ về quản lý đối tượng, hồ sơ, quản lý tài chính, kế toán và tổ chức thực hiện chi trả chế độ ưu đãi người có công với cách mạng do ngành </w:t>
      </w:r>
      <w:r w:rsidR="00F75AE9" w:rsidRPr="00093A5C">
        <w:rPr>
          <w:rFonts w:ascii="Times New Roman" w:hAnsi="Times New Roman" w:cs="Times New Roman"/>
          <w:color w:val="000000" w:themeColor="text1"/>
          <w:sz w:val="28"/>
          <w:szCs w:val="28"/>
          <w:shd w:val="clear" w:color="auto" w:fill="FFFFFF"/>
          <w:lang w:val="vi"/>
        </w:rPr>
        <w:t>N</w:t>
      </w:r>
      <w:r w:rsidR="00A87C61" w:rsidRPr="00093A5C">
        <w:rPr>
          <w:rFonts w:ascii="Times New Roman" w:hAnsi="Times New Roman" w:cs="Times New Roman"/>
          <w:color w:val="000000" w:themeColor="text1"/>
          <w:sz w:val="28"/>
          <w:szCs w:val="28"/>
          <w:shd w:val="clear" w:color="auto" w:fill="FFFFFF"/>
          <w:lang w:val="vi"/>
        </w:rPr>
        <w:t xml:space="preserve">ội vụ quản lý trên địa bàn tỉnh </w:t>
      </w:r>
      <w:r w:rsidR="0068114C" w:rsidRPr="00093A5C">
        <w:rPr>
          <w:rFonts w:ascii="Times New Roman" w:hAnsi="Times New Roman" w:cs="Times New Roman"/>
          <w:color w:val="000000" w:themeColor="text1"/>
          <w:sz w:val="28"/>
          <w:szCs w:val="28"/>
          <w:shd w:val="clear" w:color="auto" w:fill="FFFFFF"/>
          <w:lang w:val="vi"/>
        </w:rPr>
        <w:t>Đồng Nai</w:t>
      </w:r>
      <w:r w:rsidRPr="00093A5C">
        <w:rPr>
          <w:rFonts w:ascii="Times New Roman" w:hAnsi="Times New Roman" w:cs="Times New Roman"/>
          <w:sz w:val="28"/>
          <w:szCs w:val="28"/>
          <w:lang w:val="vi"/>
        </w:rPr>
        <w:t>.</w:t>
      </w:r>
    </w:p>
    <w:p w14:paraId="34E31C91" w14:textId="482D2FA7" w:rsidR="00F314E8" w:rsidRPr="00C37CFB" w:rsidRDefault="00F314E8" w:rsidP="00C37CFB">
      <w:pPr>
        <w:spacing w:before="60" w:after="60" w:line="340" w:lineRule="exact"/>
        <w:ind w:firstLine="709"/>
        <w:jc w:val="both"/>
        <w:rPr>
          <w:rFonts w:ascii="Times New Roman" w:eastAsia="Times New Roman" w:hAnsi="Times New Roman" w:cs="Times New Roman"/>
          <w:sz w:val="28"/>
          <w:szCs w:val="28"/>
        </w:rPr>
      </w:pPr>
      <w:r w:rsidRPr="00093A5C">
        <w:rPr>
          <w:rFonts w:ascii="Times New Roman" w:eastAsia="Times New Roman" w:hAnsi="Times New Roman" w:cs="Times New Roman"/>
          <w:sz w:val="28"/>
          <w:szCs w:val="28"/>
          <w:lang w:val="vi"/>
        </w:rPr>
        <w:t>2. Đối tượng áp dụng</w:t>
      </w:r>
    </w:p>
    <w:p w14:paraId="092D6F69" w14:textId="6DAF449E" w:rsidR="00A87C61" w:rsidRPr="00093A5C" w:rsidRDefault="00156CE6" w:rsidP="00C37CFB">
      <w:pPr>
        <w:spacing w:before="60" w:after="60" w:line="340" w:lineRule="exact"/>
        <w:ind w:firstLine="709"/>
        <w:jc w:val="both"/>
        <w:rPr>
          <w:rFonts w:ascii="Times New Roman" w:eastAsia="Times New Roman" w:hAnsi="Times New Roman" w:cs="Times New Roman"/>
          <w:sz w:val="28"/>
          <w:szCs w:val="28"/>
          <w:lang w:val="vi"/>
        </w:rPr>
      </w:pPr>
      <w:r w:rsidRPr="00093A5C">
        <w:rPr>
          <w:rFonts w:ascii="Times New Roman" w:eastAsia="Times New Roman" w:hAnsi="Times New Roman" w:cs="Times New Roman"/>
          <w:sz w:val="28"/>
          <w:szCs w:val="28"/>
          <w:lang w:val="vi"/>
        </w:rPr>
        <w:t>a</w:t>
      </w:r>
      <w:r w:rsidR="00A87C61" w:rsidRPr="00093A5C">
        <w:rPr>
          <w:rFonts w:ascii="Times New Roman" w:eastAsia="Times New Roman" w:hAnsi="Times New Roman" w:cs="Times New Roman"/>
          <w:sz w:val="28"/>
          <w:szCs w:val="28"/>
          <w:lang w:val="vi"/>
        </w:rPr>
        <w:t>) Sở Nội vụ và Ủy ban nhân dân các xã, phường được giao thực hiện công tác quản lý, chi trả chế độ ưu đãi người có công với cách mạng.</w:t>
      </w:r>
    </w:p>
    <w:p w14:paraId="7497CE96" w14:textId="13F796C9" w:rsidR="00A87C61" w:rsidRPr="00093A5C" w:rsidRDefault="00156CE6" w:rsidP="00C37CFB">
      <w:pPr>
        <w:spacing w:before="60" w:after="60" w:line="340" w:lineRule="exact"/>
        <w:ind w:firstLine="709"/>
        <w:jc w:val="both"/>
        <w:rPr>
          <w:rFonts w:ascii="Times New Roman" w:eastAsia="Times New Roman" w:hAnsi="Times New Roman" w:cs="Times New Roman"/>
          <w:sz w:val="28"/>
          <w:szCs w:val="28"/>
          <w:lang w:val="vi"/>
        </w:rPr>
      </w:pPr>
      <w:r w:rsidRPr="00093A5C">
        <w:rPr>
          <w:rFonts w:ascii="Times New Roman" w:eastAsia="Times New Roman" w:hAnsi="Times New Roman" w:cs="Times New Roman"/>
          <w:sz w:val="28"/>
          <w:szCs w:val="28"/>
          <w:lang w:val="vi"/>
        </w:rPr>
        <w:t>b</w:t>
      </w:r>
      <w:r w:rsidR="00A87C61" w:rsidRPr="00093A5C">
        <w:rPr>
          <w:rFonts w:ascii="Times New Roman" w:eastAsia="Times New Roman" w:hAnsi="Times New Roman" w:cs="Times New Roman"/>
          <w:sz w:val="28"/>
          <w:szCs w:val="28"/>
          <w:lang w:val="vi"/>
        </w:rPr>
        <w:t>) Người trực tiếp thực hiện chi trả trợ cấp hoặc tổ chức dịch vụ chi trả chế độ ưu đãi người có công với cách mạng</w:t>
      </w:r>
    </w:p>
    <w:p w14:paraId="1E21636A" w14:textId="256A8537" w:rsidR="00F314E8" w:rsidRPr="00093A5C" w:rsidRDefault="00156CE6" w:rsidP="00C37CFB">
      <w:pPr>
        <w:spacing w:before="60" w:after="60" w:line="340" w:lineRule="exact"/>
        <w:ind w:firstLine="709"/>
        <w:jc w:val="both"/>
        <w:rPr>
          <w:rFonts w:ascii="Times New Roman" w:hAnsi="Times New Roman" w:cs="Times New Roman"/>
          <w:i/>
          <w:sz w:val="28"/>
          <w:szCs w:val="28"/>
          <w:lang w:val="vi"/>
        </w:rPr>
      </w:pPr>
      <w:r w:rsidRPr="00093A5C">
        <w:rPr>
          <w:rStyle w:val="fontstyle01"/>
          <w:i w:val="0"/>
          <w:lang w:val="vi"/>
        </w:rPr>
        <w:t>c</w:t>
      </w:r>
      <w:r w:rsidR="00A87C61" w:rsidRPr="00093A5C">
        <w:rPr>
          <w:rStyle w:val="fontstyle01"/>
          <w:i w:val="0"/>
          <w:lang w:val="vi"/>
        </w:rPr>
        <w:t xml:space="preserve">) </w:t>
      </w:r>
      <w:r w:rsidR="00BC639A" w:rsidRPr="00093A5C">
        <w:rPr>
          <w:rStyle w:val="fontstyle01"/>
          <w:i w:val="0"/>
          <w:lang w:val="vi"/>
        </w:rPr>
        <w:t>Các</w:t>
      </w:r>
      <w:r w:rsidR="00A87C61" w:rsidRPr="00093A5C">
        <w:rPr>
          <w:rStyle w:val="fontstyle01"/>
          <w:i w:val="0"/>
          <w:lang w:val="vi"/>
        </w:rPr>
        <w:t xml:space="preserve"> cơ quan</w:t>
      </w:r>
      <w:r w:rsidR="00E55FBF" w:rsidRPr="00093A5C">
        <w:rPr>
          <w:rStyle w:val="fontstyle01"/>
          <w:i w:val="0"/>
          <w:lang w:val="vi"/>
        </w:rPr>
        <w:t xml:space="preserve">, tổ chức và </w:t>
      </w:r>
      <w:r w:rsidR="00A87C61" w:rsidRPr="00093A5C">
        <w:rPr>
          <w:rStyle w:val="fontstyle01"/>
          <w:i w:val="0"/>
          <w:lang w:val="vi"/>
        </w:rPr>
        <w:t>cá nhân khác có liên quan.</w:t>
      </w:r>
    </w:p>
    <w:p w14:paraId="2791B022" w14:textId="2C45A6A7" w:rsidR="00923E3A" w:rsidRPr="00093A5C" w:rsidRDefault="00F314E8" w:rsidP="00C37CFB">
      <w:pPr>
        <w:spacing w:before="60" w:after="60" w:line="340" w:lineRule="exact"/>
        <w:ind w:firstLine="709"/>
        <w:jc w:val="both"/>
        <w:rPr>
          <w:rFonts w:ascii="Times New Roman" w:hAnsi="Times New Roman" w:cs="Times New Roman"/>
          <w:b/>
          <w:sz w:val="28"/>
          <w:szCs w:val="28"/>
          <w:lang w:val="vi"/>
        </w:rPr>
      </w:pPr>
      <w:bookmarkStart w:id="1" w:name="_Hlk219994424"/>
      <w:r w:rsidRPr="00093A5C">
        <w:rPr>
          <w:rFonts w:ascii="Times New Roman" w:hAnsi="Times New Roman" w:cs="Times New Roman"/>
          <w:b/>
          <w:sz w:val="28"/>
          <w:szCs w:val="28"/>
          <w:lang w:val="vi"/>
        </w:rPr>
        <w:t xml:space="preserve">Điều </w:t>
      </w:r>
      <w:r w:rsidR="00EA203A" w:rsidRPr="00093A5C">
        <w:rPr>
          <w:rFonts w:ascii="Times New Roman" w:hAnsi="Times New Roman" w:cs="Times New Roman"/>
          <w:b/>
          <w:sz w:val="28"/>
          <w:szCs w:val="28"/>
          <w:lang w:val="vi"/>
        </w:rPr>
        <w:t>2</w:t>
      </w:r>
      <w:r w:rsidRPr="00093A5C">
        <w:rPr>
          <w:rFonts w:ascii="Times New Roman" w:hAnsi="Times New Roman" w:cs="Times New Roman"/>
          <w:b/>
          <w:sz w:val="28"/>
          <w:szCs w:val="28"/>
          <w:lang w:val="vi"/>
        </w:rPr>
        <w:t>. Mứ</w:t>
      </w:r>
      <w:r w:rsidR="006B5E1C" w:rsidRPr="00093A5C">
        <w:rPr>
          <w:rFonts w:ascii="Times New Roman" w:hAnsi="Times New Roman" w:cs="Times New Roman"/>
          <w:b/>
          <w:sz w:val="28"/>
          <w:szCs w:val="28"/>
          <w:lang w:val="vi"/>
        </w:rPr>
        <w:t>c chi phí quản lý và mức chi trả</w:t>
      </w:r>
      <w:r w:rsidR="00FE7381" w:rsidRPr="00093A5C">
        <w:rPr>
          <w:rFonts w:ascii="Times New Roman" w:hAnsi="Times New Roman" w:cs="Times New Roman"/>
          <w:b/>
          <w:sz w:val="28"/>
          <w:szCs w:val="28"/>
          <w:lang w:val="vi"/>
        </w:rPr>
        <w:t xml:space="preserve"> thù lao hoặc </w:t>
      </w:r>
      <w:r w:rsidR="006B5E1C" w:rsidRPr="00093A5C">
        <w:rPr>
          <w:rFonts w:ascii="Times New Roman" w:hAnsi="Times New Roman" w:cs="Times New Roman"/>
          <w:b/>
          <w:sz w:val="28"/>
          <w:szCs w:val="28"/>
          <w:lang w:val="vi"/>
        </w:rPr>
        <w:t>chi phí dịch vụ chi trả</w:t>
      </w:r>
      <w:r w:rsidR="00FE7381" w:rsidRPr="00093A5C">
        <w:rPr>
          <w:rFonts w:ascii="Times New Roman" w:hAnsi="Times New Roman" w:cs="Times New Roman"/>
          <w:b/>
          <w:sz w:val="28"/>
          <w:szCs w:val="28"/>
          <w:lang w:val="vi"/>
        </w:rPr>
        <w:t xml:space="preserve"> (nếu có)</w:t>
      </w:r>
      <w:r w:rsidR="006B5E1C" w:rsidRPr="00093A5C">
        <w:rPr>
          <w:rFonts w:ascii="Times New Roman" w:hAnsi="Times New Roman" w:cs="Times New Roman"/>
          <w:b/>
          <w:sz w:val="28"/>
          <w:szCs w:val="28"/>
          <w:lang w:val="vi"/>
        </w:rPr>
        <w:t xml:space="preserve"> </w:t>
      </w:r>
    </w:p>
    <w:bookmarkEnd w:id="1"/>
    <w:p w14:paraId="18CE54DA" w14:textId="2DA6270A" w:rsidR="00834457" w:rsidRPr="00C37CFB" w:rsidRDefault="00834457" w:rsidP="00C37CFB">
      <w:pPr>
        <w:spacing w:before="60" w:after="60" w:line="340" w:lineRule="exact"/>
        <w:ind w:firstLine="709"/>
        <w:jc w:val="both"/>
        <w:rPr>
          <w:rFonts w:ascii="Times New Roman" w:eastAsia="Times New Roman" w:hAnsi="Times New Roman" w:cs="Times New Roman"/>
          <w:sz w:val="28"/>
          <w:szCs w:val="28"/>
        </w:rPr>
      </w:pPr>
      <w:r w:rsidRPr="00093A5C">
        <w:rPr>
          <w:rFonts w:ascii="Times New Roman" w:eastAsia="Times New Roman" w:hAnsi="Times New Roman" w:cs="Times New Roman"/>
          <w:sz w:val="28"/>
          <w:szCs w:val="28"/>
          <w:lang w:val="vi"/>
        </w:rPr>
        <w:t>1</w:t>
      </w:r>
      <w:r w:rsidR="00C37CFB">
        <w:rPr>
          <w:rFonts w:ascii="Times New Roman" w:eastAsia="Times New Roman" w:hAnsi="Times New Roman" w:cs="Times New Roman"/>
          <w:sz w:val="28"/>
          <w:szCs w:val="28"/>
          <w:lang w:val="vi"/>
        </w:rPr>
        <w:t>. Tỷ lệ phân bổ chi phí quản lý</w:t>
      </w:r>
    </w:p>
    <w:p w14:paraId="3E99FF98" w14:textId="285A9EF7" w:rsidR="00834457" w:rsidRPr="00093A5C" w:rsidRDefault="00834457" w:rsidP="00C37CFB">
      <w:pPr>
        <w:spacing w:before="60" w:after="60" w:line="340" w:lineRule="exact"/>
        <w:ind w:firstLine="709"/>
        <w:jc w:val="both"/>
        <w:rPr>
          <w:rFonts w:ascii="Times New Roman" w:eastAsia="Times New Roman" w:hAnsi="Times New Roman" w:cs="Times New Roman"/>
          <w:sz w:val="28"/>
          <w:szCs w:val="28"/>
          <w:lang w:val="vi"/>
        </w:rPr>
      </w:pPr>
      <w:r w:rsidRPr="00093A5C">
        <w:rPr>
          <w:rFonts w:ascii="Times New Roman" w:eastAsia="Times New Roman" w:hAnsi="Times New Roman" w:cs="Times New Roman"/>
          <w:sz w:val="28"/>
          <w:szCs w:val="28"/>
          <w:lang w:val="vi"/>
        </w:rPr>
        <w:t>a) Chi tại cấp tỉnh là 25% tổng kinh phí quản lý toàn ngành được giao và cấp tỉnh điều tiết tỷ lệ toàn ngành cho cấp xã khi có phát sinh.</w:t>
      </w:r>
    </w:p>
    <w:p w14:paraId="34EF403D" w14:textId="77777777" w:rsidR="00834457" w:rsidRPr="00093A5C" w:rsidRDefault="00834457" w:rsidP="00C37CFB">
      <w:pPr>
        <w:spacing w:before="60" w:after="60" w:line="340" w:lineRule="exact"/>
        <w:ind w:firstLine="709"/>
        <w:jc w:val="both"/>
        <w:rPr>
          <w:rFonts w:ascii="Times New Roman" w:eastAsia="Times New Roman" w:hAnsi="Times New Roman" w:cs="Times New Roman"/>
          <w:sz w:val="28"/>
          <w:szCs w:val="28"/>
          <w:lang w:val="vi"/>
        </w:rPr>
      </w:pPr>
      <w:r w:rsidRPr="00093A5C">
        <w:rPr>
          <w:rFonts w:ascii="Times New Roman" w:eastAsia="Times New Roman" w:hAnsi="Times New Roman" w:cs="Times New Roman"/>
          <w:sz w:val="28"/>
          <w:szCs w:val="28"/>
          <w:lang w:val="vi"/>
        </w:rPr>
        <w:t>b) Chi tại cấp xã, phường là 75% tổng kinh phí chi quản lý toàn ngành được giao.</w:t>
      </w:r>
    </w:p>
    <w:p w14:paraId="59802BB7" w14:textId="41D0E058" w:rsidR="00834457" w:rsidRPr="00093A5C" w:rsidRDefault="00834457" w:rsidP="00C37CFB">
      <w:pPr>
        <w:spacing w:before="60" w:after="60" w:line="340" w:lineRule="exact"/>
        <w:ind w:firstLine="709"/>
        <w:jc w:val="both"/>
        <w:rPr>
          <w:rFonts w:ascii="Times New Roman" w:eastAsia="Times New Roman" w:hAnsi="Times New Roman" w:cs="Times New Roman"/>
          <w:sz w:val="28"/>
          <w:szCs w:val="28"/>
          <w:lang w:val="vi"/>
        </w:rPr>
      </w:pPr>
      <w:r w:rsidRPr="00093A5C">
        <w:rPr>
          <w:rFonts w:ascii="Times New Roman" w:eastAsia="Times New Roman" w:hAnsi="Times New Roman" w:cs="Times New Roman"/>
          <w:sz w:val="28"/>
          <w:szCs w:val="28"/>
          <w:lang w:val="vi"/>
        </w:rPr>
        <w:t>2. Mức chi thù lao cho người trực tiếp chi trả trợ cấp hoặc thuê dịch vụ chi trả (nếu có) tối đa bằng 40% trong tổng dự toán được giao chi cho công tác quản lý tại đơn vị. Mức chi trả thù lao cho người trực tiếp chi trả trợ cấp đến người thụ hưởng (đối với trường hợp cơ quan được cấp có thẩm quyền giao thực hiện chi trả): 10.000 đồng/đối tượng chi trả. Thủ trưởng cơ quan quyết định mức chi thù lao phù hợp tình hình thực tế tại địa phương.</w:t>
      </w:r>
    </w:p>
    <w:p w14:paraId="68473D8D" w14:textId="51CD6CF3" w:rsidR="00923E3A" w:rsidRPr="00093A5C" w:rsidRDefault="00923E3A" w:rsidP="00C37CFB">
      <w:pPr>
        <w:shd w:val="clear" w:color="auto" w:fill="FFFFFF"/>
        <w:spacing w:before="60" w:after="60" w:line="336" w:lineRule="exact"/>
        <w:ind w:firstLine="709"/>
        <w:jc w:val="both"/>
        <w:textAlignment w:val="baseline"/>
        <w:rPr>
          <w:rFonts w:ascii="Times New Roman" w:eastAsia="Times New Roman" w:hAnsi="Times New Roman" w:cs="Times New Roman"/>
          <w:sz w:val="28"/>
          <w:szCs w:val="28"/>
          <w:bdr w:val="none" w:sz="0" w:space="0" w:color="auto" w:frame="1"/>
          <w:lang w:val="vi"/>
        </w:rPr>
      </w:pPr>
      <w:r w:rsidRPr="00093A5C">
        <w:rPr>
          <w:rFonts w:ascii="Times New Roman" w:hAnsi="Times New Roman" w:cs="Times New Roman"/>
          <w:b/>
          <w:spacing w:val="-4"/>
          <w:sz w:val="28"/>
          <w:szCs w:val="28"/>
          <w:lang w:val="vi"/>
        </w:rPr>
        <w:t>Điều 3.</w:t>
      </w:r>
      <w:r w:rsidRPr="00093A5C">
        <w:rPr>
          <w:rFonts w:ascii="Times New Roman" w:hAnsi="Times New Roman" w:cs="Times New Roman"/>
          <w:spacing w:val="-4"/>
          <w:sz w:val="28"/>
          <w:szCs w:val="28"/>
          <w:lang w:val="vi"/>
        </w:rPr>
        <w:t xml:space="preserve"> </w:t>
      </w:r>
      <w:r w:rsidRPr="00093A5C">
        <w:rPr>
          <w:rFonts w:ascii="Times New Roman" w:hAnsi="Times New Roman" w:cs="Times New Roman"/>
          <w:b/>
          <w:sz w:val="28"/>
          <w:szCs w:val="28"/>
          <w:lang w:val="vi"/>
        </w:rPr>
        <w:t>Nguồn kinh phí thực hiện</w:t>
      </w:r>
    </w:p>
    <w:p w14:paraId="34C42999" w14:textId="10D6CD5F" w:rsidR="00F314E8" w:rsidRPr="00093A5C" w:rsidRDefault="00F314E8" w:rsidP="00C37CFB">
      <w:pPr>
        <w:shd w:val="clear" w:color="auto" w:fill="FFFFFF"/>
        <w:spacing w:before="60" w:after="60" w:line="336" w:lineRule="exact"/>
        <w:ind w:firstLine="709"/>
        <w:jc w:val="both"/>
        <w:textAlignment w:val="baseline"/>
        <w:rPr>
          <w:rFonts w:ascii="Times New Roman" w:eastAsia="Times New Roman" w:hAnsi="Times New Roman" w:cs="Times New Roman"/>
          <w:color w:val="000000"/>
          <w:sz w:val="28"/>
          <w:szCs w:val="28"/>
          <w:bdr w:val="none" w:sz="0" w:space="0" w:color="auto" w:frame="1"/>
          <w:lang w:val="vi"/>
        </w:rPr>
      </w:pPr>
      <w:r w:rsidRPr="00093A5C">
        <w:rPr>
          <w:rFonts w:ascii="Times New Roman" w:eastAsia="Times New Roman" w:hAnsi="Times New Roman" w:cs="Times New Roman"/>
          <w:color w:val="000000"/>
          <w:sz w:val="28"/>
          <w:szCs w:val="28"/>
          <w:bdr w:val="none" w:sz="0" w:space="0" w:color="auto" w:frame="1"/>
          <w:lang w:val="vi"/>
        </w:rPr>
        <w:lastRenderedPageBreak/>
        <w:t xml:space="preserve">Kinh phí thực hiện </w:t>
      </w:r>
      <w:r w:rsidR="006C1DF6" w:rsidRPr="00093A5C">
        <w:rPr>
          <w:rFonts w:ascii="Times New Roman" w:hAnsi="Times New Roman" w:cs="Times New Roman"/>
          <w:spacing w:val="-4"/>
          <w:sz w:val="28"/>
          <w:szCs w:val="28"/>
          <w:lang w:val="vi"/>
        </w:rPr>
        <w:t xml:space="preserve">từ nguồn ngân sách </w:t>
      </w:r>
      <w:r w:rsidR="000845E1" w:rsidRPr="00093A5C">
        <w:rPr>
          <w:rFonts w:ascii="Times New Roman" w:hAnsi="Times New Roman" w:cs="Times New Roman"/>
          <w:spacing w:val="-4"/>
          <w:sz w:val="28"/>
          <w:szCs w:val="28"/>
          <w:lang w:val="vi"/>
        </w:rPr>
        <w:t>T</w:t>
      </w:r>
      <w:r w:rsidR="006C1DF6" w:rsidRPr="00093A5C">
        <w:rPr>
          <w:rFonts w:ascii="Times New Roman" w:hAnsi="Times New Roman" w:cs="Times New Roman"/>
          <w:spacing w:val="-4"/>
          <w:sz w:val="28"/>
          <w:szCs w:val="28"/>
          <w:lang w:val="vi"/>
        </w:rPr>
        <w:t>rung ương</w:t>
      </w:r>
      <w:r w:rsidR="000845E1" w:rsidRPr="00093A5C">
        <w:rPr>
          <w:rFonts w:ascii="Times New Roman" w:eastAsia="Times New Roman" w:hAnsi="Times New Roman" w:cs="Times New Roman"/>
          <w:color w:val="000000"/>
          <w:sz w:val="28"/>
          <w:szCs w:val="28"/>
          <w:bdr w:val="none" w:sz="0" w:space="0" w:color="auto" w:frame="1"/>
          <w:lang w:val="vi"/>
        </w:rPr>
        <w:t xml:space="preserve"> bổ sung có mục tiêu cho ngân sách địa phương.</w:t>
      </w:r>
    </w:p>
    <w:p w14:paraId="58B7D067" w14:textId="01570931" w:rsidR="0070058F" w:rsidRPr="00093A5C" w:rsidRDefault="0070058F" w:rsidP="00C37CFB">
      <w:pPr>
        <w:spacing w:before="60" w:after="60" w:line="336" w:lineRule="exact"/>
        <w:ind w:firstLine="709"/>
        <w:jc w:val="both"/>
        <w:rPr>
          <w:rFonts w:ascii="Times New Roman" w:eastAsia="Times New Roman" w:hAnsi="Times New Roman" w:cs="Times New Roman"/>
          <w:b/>
          <w:sz w:val="28"/>
          <w:szCs w:val="28"/>
          <w:lang w:val="vi"/>
        </w:rPr>
      </w:pPr>
      <w:r w:rsidRPr="00093A5C">
        <w:rPr>
          <w:rFonts w:ascii="Times New Roman" w:eastAsia="Times New Roman" w:hAnsi="Times New Roman" w:cs="Times New Roman"/>
          <w:b/>
          <w:sz w:val="28"/>
          <w:szCs w:val="28"/>
          <w:lang w:val="vi"/>
        </w:rPr>
        <w:t xml:space="preserve">Điều </w:t>
      </w:r>
      <w:r w:rsidR="00923E3A" w:rsidRPr="00093A5C">
        <w:rPr>
          <w:rFonts w:ascii="Times New Roman" w:eastAsia="Times New Roman" w:hAnsi="Times New Roman" w:cs="Times New Roman"/>
          <w:b/>
          <w:sz w:val="28"/>
          <w:szCs w:val="28"/>
          <w:lang w:val="vi"/>
        </w:rPr>
        <w:t>4</w:t>
      </w:r>
      <w:r w:rsidRPr="00093A5C">
        <w:rPr>
          <w:rFonts w:ascii="Times New Roman" w:eastAsia="Times New Roman" w:hAnsi="Times New Roman" w:cs="Times New Roman"/>
          <w:b/>
          <w:sz w:val="28"/>
          <w:szCs w:val="28"/>
          <w:lang w:val="vi"/>
        </w:rPr>
        <w:t>. Tổ chức thực hiện</w:t>
      </w:r>
    </w:p>
    <w:p w14:paraId="1335D699" w14:textId="13766DAC" w:rsidR="000845E1" w:rsidRPr="00BD161D" w:rsidRDefault="000845E1" w:rsidP="00C37CFB">
      <w:pPr>
        <w:tabs>
          <w:tab w:val="left" w:pos="851"/>
          <w:tab w:val="left" w:pos="990"/>
        </w:tabs>
        <w:spacing w:before="60" w:after="60" w:line="336" w:lineRule="exact"/>
        <w:ind w:firstLine="709"/>
        <w:jc w:val="both"/>
        <w:rPr>
          <w:rFonts w:ascii="Times New Roman" w:eastAsia="Times New Roman" w:hAnsi="Times New Roman" w:cs="Times New Roman"/>
          <w:sz w:val="28"/>
          <w:szCs w:val="28"/>
          <w:lang w:val="pt-BR" w:eastAsia="en-GB"/>
        </w:rPr>
      </w:pPr>
      <w:r w:rsidRPr="00BD161D">
        <w:rPr>
          <w:rFonts w:ascii="Times New Roman" w:hAnsi="Times New Roman" w:cs="Times New Roman"/>
          <w:sz w:val="28"/>
          <w:szCs w:val="28"/>
          <w:lang w:val="sv-SE"/>
        </w:rPr>
        <w:t xml:space="preserve">1. </w:t>
      </w:r>
      <w:r w:rsidRPr="00093A5C">
        <w:rPr>
          <w:rFonts w:ascii="Times New Roman" w:hAnsi="Times New Roman" w:cs="Times New Roman"/>
          <w:sz w:val="28"/>
          <w:szCs w:val="28"/>
          <w:lang w:val="vi"/>
        </w:rPr>
        <w:t>Giao Ủy ban nhân dân tỉnh</w:t>
      </w:r>
      <w:r w:rsidRPr="00BD161D">
        <w:rPr>
          <w:rFonts w:ascii="Times New Roman" w:hAnsi="Times New Roman" w:cs="Times New Roman"/>
          <w:sz w:val="28"/>
          <w:szCs w:val="28"/>
          <w:lang w:val="sv-SE"/>
        </w:rPr>
        <w:t xml:space="preserve"> có trách nhiệm thực hiện Nghị quyết</w:t>
      </w:r>
      <w:r w:rsidRPr="00093A5C">
        <w:rPr>
          <w:rFonts w:ascii="Times New Roman" w:hAnsi="Times New Roman" w:cs="Times New Roman"/>
          <w:sz w:val="28"/>
          <w:szCs w:val="28"/>
          <w:lang w:val="vi"/>
        </w:rPr>
        <w:t xml:space="preserve"> và </w:t>
      </w:r>
      <w:r w:rsidRPr="00BD161D">
        <w:rPr>
          <w:rFonts w:ascii="Times New Roman" w:hAnsi="Times New Roman" w:cs="Times New Roman"/>
          <w:sz w:val="28"/>
          <w:szCs w:val="28"/>
          <w:lang w:val="sv-SE"/>
        </w:rPr>
        <w:t>báo cáo kết quả thực hiện cho Hội đồng nhân dân tỉnh theo quy định.</w:t>
      </w:r>
      <w:r w:rsidRPr="00BD161D">
        <w:rPr>
          <w:rFonts w:ascii="Times New Roman" w:eastAsia="Times New Roman" w:hAnsi="Times New Roman" w:cs="Times New Roman"/>
          <w:sz w:val="28"/>
          <w:szCs w:val="28"/>
          <w:lang w:val="pt-BR" w:eastAsia="en-GB"/>
        </w:rPr>
        <w:t xml:space="preserve"> </w:t>
      </w:r>
    </w:p>
    <w:p w14:paraId="6695396D" w14:textId="6124BD8B" w:rsidR="000845E1" w:rsidRPr="00BD161D" w:rsidRDefault="000845E1" w:rsidP="00C37CFB">
      <w:pPr>
        <w:spacing w:before="60" w:after="60" w:line="336" w:lineRule="exact"/>
        <w:ind w:firstLine="709"/>
        <w:jc w:val="both"/>
        <w:rPr>
          <w:rFonts w:ascii="Times New Roman" w:hAnsi="Times New Roman" w:cs="Times New Roman"/>
          <w:sz w:val="28"/>
          <w:szCs w:val="28"/>
          <w:lang w:val="vi-VN"/>
        </w:rPr>
      </w:pPr>
      <w:r w:rsidRPr="00BD161D">
        <w:rPr>
          <w:rFonts w:ascii="Times New Roman" w:hAnsi="Times New Roman" w:cs="Times New Roman"/>
          <w:sz w:val="28"/>
          <w:szCs w:val="28"/>
          <w:lang w:val="vi-VN"/>
        </w:rPr>
        <w:t>2. Giao Thường trực Hội đồng nhân dân tỉnh, các Ban của Hội đồng nhân dân tỉnh, các</w:t>
      </w:r>
      <w:r w:rsidRPr="00BD161D">
        <w:rPr>
          <w:rFonts w:ascii="Times New Roman" w:hAnsi="Times New Roman" w:cs="Times New Roman"/>
          <w:sz w:val="28"/>
          <w:szCs w:val="28"/>
          <w:lang w:val="sv-SE"/>
        </w:rPr>
        <w:t xml:space="preserve"> Tổ</w:t>
      </w:r>
      <w:r w:rsidRPr="00BD161D">
        <w:rPr>
          <w:rFonts w:ascii="Times New Roman" w:hAnsi="Times New Roman" w:cs="Times New Roman"/>
          <w:sz w:val="28"/>
          <w:szCs w:val="28"/>
          <w:lang w:val="vi-VN"/>
        </w:rPr>
        <w:t xml:space="preserve"> đại biểu Hội đồng nhân dân tỉnh</w:t>
      </w:r>
      <w:r w:rsidRPr="00BD161D">
        <w:rPr>
          <w:rFonts w:ascii="Times New Roman" w:hAnsi="Times New Roman" w:cs="Times New Roman"/>
          <w:sz w:val="28"/>
          <w:szCs w:val="28"/>
          <w:lang w:val="sv-SE"/>
        </w:rPr>
        <w:t xml:space="preserve"> và các </w:t>
      </w:r>
      <w:r w:rsidR="00314F68">
        <w:rPr>
          <w:rFonts w:ascii="Times New Roman" w:hAnsi="Times New Roman" w:cs="Times New Roman"/>
          <w:sz w:val="28"/>
          <w:szCs w:val="28"/>
          <w:lang w:val="sv-SE"/>
        </w:rPr>
        <w:t>đ</w:t>
      </w:r>
      <w:r w:rsidRPr="00BD161D">
        <w:rPr>
          <w:rFonts w:ascii="Times New Roman" w:hAnsi="Times New Roman" w:cs="Times New Roman"/>
          <w:sz w:val="28"/>
          <w:szCs w:val="28"/>
          <w:lang w:val="vi-VN"/>
        </w:rPr>
        <w:t>ại biểu Hội đồng nhân dân tỉnh giám sát việc triển khai thực hiện Nghị quyết.</w:t>
      </w:r>
    </w:p>
    <w:p w14:paraId="05C8E856" w14:textId="77777777" w:rsidR="000845E1" w:rsidRPr="00BD161D" w:rsidRDefault="000845E1" w:rsidP="00C37CFB">
      <w:pPr>
        <w:pStyle w:val="NormalWeb"/>
        <w:spacing w:before="60" w:beforeAutospacing="0" w:after="60" w:afterAutospacing="0" w:line="336" w:lineRule="exact"/>
        <w:ind w:firstLine="709"/>
        <w:jc w:val="both"/>
        <w:rPr>
          <w:sz w:val="28"/>
          <w:szCs w:val="28"/>
          <w:lang w:val="vi-VN"/>
        </w:rPr>
      </w:pPr>
      <w:r w:rsidRPr="00BD161D">
        <w:rPr>
          <w:sz w:val="28"/>
          <w:szCs w:val="28"/>
          <w:lang w:val="vi-VN"/>
        </w:rPr>
        <w:t>3. Đề nghị Ủy ban Mặt trận Tổ quốc Việt Nam tỉnh Đồng Nai và các tổ chức thành viên giám sát và vận động Nhân dân cùng giám sát việc thực hiện Nghị quyết này; phản ánh kịp thời tâm tư nguyện vọng, kiến nghị của các đối tượng được thụ hưởng chính sách đến các cơ quan có thẩm quyền.</w:t>
      </w:r>
    </w:p>
    <w:p w14:paraId="130FFCA9" w14:textId="59886C17" w:rsidR="00BD6079" w:rsidRPr="00BD161D" w:rsidRDefault="006C1DF6" w:rsidP="00C37CFB">
      <w:pPr>
        <w:tabs>
          <w:tab w:val="left" w:pos="851"/>
          <w:tab w:val="left" w:pos="990"/>
        </w:tabs>
        <w:spacing w:before="60" w:after="60" w:line="336" w:lineRule="exact"/>
        <w:ind w:firstLine="709"/>
        <w:jc w:val="both"/>
        <w:rPr>
          <w:rFonts w:ascii="Times New Roman" w:eastAsia="Times New Roman" w:hAnsi="Times New Roman" w:cs="Times New Roman"/>
          <w:b/>
          <w:sz w:val="28"/>
          <w:szCs w:val="28"/>
          <w:lang w:val="pt-BR" w:eastAsia="en-GB"/>
        </w:rPr>
      </w:pPr>
      <w:r w:rsidRPr="00BD161D">
        <w:rPr>
          <w:rFonts w:ascii="Times New Roman" w:eastAsia="Times New Roman" w:hAnsi="Times New Roman" w:cs="Times New Roman"/>
          <w:b/>
          <w:sz w:val="28"/>
          <w:szCs w:val="28"/>
          <w:lang w:val="pt-BR" w:eastAsia="en-GB"/>
        </w:rPr>
        <w:t xml:space="preserve">Điều 5. </w:t>
      </w:r>
      <w:r w:rsidR="00BD6079" w:rsidRPr="00BD161D">
        <w:rPr>
          <w:rFonts w:ascii="Times New Roman" w:eastAsia="Times New Roman" w:hAnsi="Times New Roman" w:cs="Times New Roman"/>
          <w:b/>
          <w:sz w:val="28"/>
          <w:szCs w:val="28"/>
          <w:lang w:val="pt-BR" w:eastAsia="en-GB"/>
        </w:rPr>
        <w:t>Hiệu lực thi hành:</w:t>
      </w:r>
    </w:p>
    <w:p w14:paraId="36232A94" w14:textId="3D232E34" w:rsidR="00BD6079" w:rsidRPr="005D7D00" w:rsidRDefault="00BD6079" w:rsidP="00C37CFB">
      <w:pPr>
        <w:tabs>
          <w:tab w:val="left" w:pos="851"/>
          <w:tab w:val="left" w:pos="990"/>
        </w:tabs>
        <w:spacing w:before="60" w:after="60" w:line="336" w:lineRule="exact"/>
        <w:ind w:firstLine="709"/>
        <w:jc w:val="both"/>
        <w:rPr>
          <w:rFonts w:ascii="Times New Roman" w:eastAsia="Times New Roman" w:hAnsi="Times New Roman" w:cs="Times New Roman"/>
          <w:color w:val="000000" w:themeColor="text1"/>
          <w:sz w:val="28"/>
          <w:szCs w:val="28"/>
          <w:lang w:val="pt-BR" w:eastAsia="en-GB"/>
        </w:rPr>
      </w:pPr>
      <w:r w:rsidRPr="005D7D00">
        <w:rPr>
          <w:rFonts w:ascii="Times New Roman" w:eastAsia="Times New Roman" w:hAnsi="Times New Roman" w:cs="Times New Roman"/>
          <w:color w:val="000000" w:themeColor="text1"/>
          <w:sz w:val="28"/>
          <w:szCs w:val="28"/>
          <w:lang w:val="pt-BR" w:eastAsia="en-GB"/>
        </w:rPr>
        <w:t>Nghị quyết này có hiệu l</w:t>
      </w:r>
      <w:r w:rsidR="00C37CFB" w:rsidRPr="005D7D00">
        <w:rPr>
          <w:rFonts w:ascii="Times New Roman" w:eastAsia="Times New Roman" w:hAnsi="Times New Roman" w:cs="Times New Roman"/>
          <w:color w:val="000000" w:themeColor="text1"/>
          <w:sz w:val="28"/>
          <w:szCs w:val="28"/>
          <w:lang w:val="pt-BR" w:eastAsia="en-GB"/>
        </w:rPr>
        <w:t>ự</w:t>
      </w:r>
      <w:r w:rsidRPr="005D7D00">
        <w:rPr>
          <w:rFonts w:ascii="Times New Roman" w:eastAsia="Times New Roman" w:hAnsi="Times New Roman" w:cs="Times New Roman"/>
          <w:color w:val="000000" w:themeColor="text1"/>
          <w:sz w:val="28"/>
          <w:szCs w:val="28"/>
          <w:lang w:val="pt-BR" w:eastAsia="en-GB"/>
        </w:rPr>
        <w:t xml:space="preserve">c thi hành kể từ ngày .... tháng ... năm </w:t>
      </w:r>
      <w:r w:rsidR="00C37CFB" w:rsidRPr="005D7D00">
        <w:rPr>
          <w:rFonts w:ascii="Times New Roman" w:eastAsia="Times New Roman" w:hAnsi="Times New Roman" w:cs="Times New Roman"/>
          <w:color w:val="000000" w:themeColor="text1"/>
          <w:sz w:val="28"/>
          <w:szCs w:val="28"/>
          <w:lang w:val="pt-BR" w:eastAsia="en-GB"/>
        </w:rPr>
        <w:t>2026</w:t>
      </w:r>
    </w:p>
    <w:p w14:paraId="7060380A" w14:textId="6C4C5338" w:rsidR="001567D6" w:rsidRPr="005D7D00" w:rsidRDefault="00EA203A" w:rsidP="00C37CFB">
      <w:pPr>
        <w:tabs>
          <w:tab w:val="left" w:pos="851"/>
          <w:tab w:val="left" w:pos="990"/>
        </w:tabs>
        <w:spacing w:before="60" w:after="60" w:line="336" w:lineRule="exact"/>
        <w:ind w:firstLine="709"/>
        <w:jc w:val="both"/>
        <w:rPr>
          <w:rFonts w:ascii="Times New Roman" w:eastAsia="Times New Roman" w:hAnsi="Times New Roman" w:cs="Times New Roman"/>
          <w:i/>
          <w:color w:val="000000" w:themeColor="text1"/>
          <w:sz w:val="28"/>
          <w:szCs w:val="28"/>
        </w:rPr>
      </w:pPr>
      <w:r w:rsidRPr="005D7D00">
        <w:rPr>
          <w:rFonts w:ascii="Times New Roman" w:hAnsi="Times New Roman" w:cs="Times New Roman"/>
          <w:i/>
          <w:color w:val="000000" w:themeColor="text1"/>
          <w:sz w:val="28"/>
          <w:szCs w:val="28"/>
          <w:lang w:val="pt-BR"/>
        </w:rPr>
        <w:t xml:space="preserve">Nghị quyết này đã được Hội đồng nhân dân tỉnh </w:t>
      </w:r>
      <w:r w:rsidR="0068114C" w:rsidRPr="005D7D00">
        <w:rPr>
          <w:rFonts w:ascii="Times New Roman" w:hAnsi="Times New Roman" w:cs="Times New Roman"/>
          <w:i/>
          <w:color w:val="000000" w:themeColor="text1"/>
          <w:sz w:val="28"/>
          <w:szCs w:val="28"/>
          <w:lang w:val="pt-BR"/>
        </w:rPr>
        <w:t xml:space="preserve">Đồng Nai </w:t>
      </w:r>
      <w:r w:rsidR="005832A1" w:rsidRPr="005D7D00">
        <w:rPr>
          <w:rFonts w:ascii="Times New Roman" w:hAnsi="Times New Roman" w:cs="Times New Roman"/>
          <w:i/>
          <w:color w:val="000000" w:themeColor="text1"/>
          <w:sz w:val="28"/>
          <w:szCs w:val="28"/>
          <w:lang w:val="pt-BR"/>
        </w:rPr>
        <w:t>k</w:t>
      </w:r>
      <w:r w:rsidRPr="005D7D00">
        <w:rPr>
          <w:rFonts w:ascii="Times New Roman" w:hAnsi="Times New Roman" w:cs="Times New Roman"/>
          <w:i/>
          <w:color w:val="000000" w:themeColor="text1"/>
          <w:sz w:val="28"/>
          <w:szCs w:val="28"/>
          <w:lang w:val="pt-BR"/>
        </w:rPr>
        <w:t xml:space="preserve">hoá </w:t>
      </w:r>
      <w:r w:rsidR="00C37B8B" w:rsidRPr="005D7D00">
        <w:rPr>
          <w:rFonts w:ascii="Times New Roman" w:hAnsi="Times New Roman" w:cs="Times New Roman"/>
          <w:i/>
          <w:color w:val="000000" w:themeColor="text1"/>
          <w:sz w:val="28"/>
          <w:szCs w:val="28"/>
          <w:lang w:val="pt-BR"/>
        </w:rPr>
        <w:t>...</w:t>
      </w:r>
      <w:r w:rsidRPr="005D7D00">
        <w:rPr>
          <w:rFonts w:ascii="Times New Roman" w:hAnsi="Times New Roman" w:cs="Times New Roman"/>
          <w:i/>
          <w:color w:val="000000" w:themeColor="text1"/>
          <w:sz w:val="28"/>
          <w:szCs w:val="28"/>
          <w:lang w:val="pt-BR"/>
        </w:rPr>
        <w:t xml:space="preserve">, kỳ họp thứ </w:t>
      </w:r>
      <w:r w:rsidR="00C37B8B" w:rsidRPr="005D7D00">
        <w:rPr>
          <w:rFonts w:ascii="Times New Roman" w:hAnsi="Times New Roman" w:cs="Times New Roman"/>
          <w:i/>
          <w:color w:val="000000" w:themeColor="text1"/>
          <w:sz w:val="28"/>
          <w:szCs w:val="28"/>
          <w:lang w:val="pt-BR"/>
        </w:rPr>
        <w:t>...</w:t>
      </w:r>
      <w:r w:rsidRPr="005D7D00">
        <w:rPr>
          <w:rFonts w:ascii="Times New Roman" w:hAnsi="Times New Roman" w:cs="Times New Roman"/>
          <w:i/>
          <w:color w:val="000000" w:themeColor="text1"/>
          <w:sz w:val="28"/>
          <w:szCs w:val="28"/>
          <w:lang w:val="pt-BR"/>
        </w:rPr>
        <w:t xml:space="preserve">  </w:t>
      </w:r>
      <w:r w:rsidRPr="005D7D00">
        <w:rPr>
          <w:rFonts w:ascii="Times New Roman" w:hAnsi="Times New Roman" w:cs="Times New Roman"/>
          <w:i/>
          <w:color w:val="000000" w:themeColor="text1"/>
          <w:sz w:val="28"/>
          <w:szCs w:val="28"/>
          <w:lang w:val="nl-NL"/>
        </w:rPr>
        <w:t xml:space="preserve">thông qua ngày </w:t>
      </w:r>
      <w:r w:rsidR="002F34F2" w:rsidRPr="005D7D00">
        <w:rPr>
          <w:rFonts w:ascii="Times New Roman" w:hAnsi="Times New Roman" w:cs="Times New Roman"/>
          <w:i/>
          <w:color w:val="000000" w:themeColor="text1"/>
          <w:sz w:val="28"/>
          <w:szCs w:val="28"/>
          <w:lang w:val="nl-NL"/>
        </w:rPr>
        <w:t>...</w:t>
      </w:r>
      <w:r w:rsidRPr="005D7D00">
        <w:rPr>
          <w:rFonts w:ascii="Times New Roman" w:hAnsi="Times New Roman" w:cs="Times New Roman"/>
          <w:i/>
          <w:color w:val="000000" w:themeColor="text1"/>
          <w:sz w:val="28"/>
          <w:szCs w:val="28"/>
          <w:lang w:val="nl-NL"/>
        </w:rPr>
        <w:t xml:space="preserve">  tháng  </w:t>
      </w:r>
      <w:r w:rsidR="002F34F2" w:rsidRPr="005D7D00">
        <w:rPr>
          <w:rFonts w:ascii="Times New Roman" w:hAnsi="Times New Roman" w:cs="Times New Roman"/>
          <w:i/>
          <w:color w:val="000000" w:themeColor="text1"/>
          <w:sz w:val="28"/>
          <w:szCs w:val="28"/>
          <w:lang w:val="nl-NL"/>
        </w:rPr>
        <w:t>...</w:t>
      </w:r>
      <w:r w:rsidRPr="005D7D00">
        <w:rPr>
          <w:rFonts w:ascii="Times New Roman" w:hAnsi="Times New Roman" w:cs="Times New Roman"/>
          <w:i/>
          <w:color w:val="000000" w:themeColor="text1"/>
          <w:sz w:val="28"/>
          <w:szCs w:val="28"/>
          <w:lang w:val="nl-NL"/>
        </w:rPr>
        <w:t xml:space="preserve"> năm 202</w:t>
      </w:r>
      <w:r w:rsidR="0068114C" w:rsidRPr="005D7D00">
        <w:rPr>
          <w:rFonts w:ascii="Times New Roman" w:hAnsi="Times New Roman" w:cs="Times New Roman"/>
          <w:i/>
          <w:color w:val="000000" w:themeColor="text1"/>
          <w:sz w:val="28"/>
          <w:szCs w:val="28"/>
          <w:lang w:val="nl-NL"/>
        </w:rPr>
        <w:t>6</w:t>
      </w:r>
      <w:r w:rsidRPr="005D7D00">
        <w:rPr>
          <w:rFonts w:ascii="Times New Roman" w:eastAsia="Times New Roman" w:hAnsi="Times New Roman" w:cs="Times New Roman"/>
          <w:i/>
          <w:color w:val="000000" w:themeColor="text1"/>
          <w:sz w:val="28"/>
          <w:szCs w:val="28"/>
        </w:rPr>
        <w:t>.</w:t>
      </w:r>
      <w:r w:rsidR="006C1DF6" w:rsidRPr="005D7D00">
        <w:rPr>
          <w:rFonts w:ascii="Times New Roman" w:eastAsia="Times New Roman" w:hAnsi="Times New Roman" w:cs="Times New Roman"/>
          <w:i/>
          <w:color w:val="000000" w:themeColor="text1"/>
          <w:sz w:val="28"/>
          <w:szCs w:val="28"/>
        </w:rPr>
        <w:t>/.</w:t>
      </w:r>
    </w:p>
    <w:p w14:paraId="6D0A4A92" w14:textId="77777777" w:rsidR="000845E1" w:rsidRPr="000845E1" w:rsidRDefault="000845E1" w:rsidP="004E17CB">
      <w:pPr>
        <w:tabs>
          <w:tab w:val="left" w:pos="851"/>
          <w:tab w:val="left" w:pos="990"/>
        </w:tabs>
        <w:spacing w:before="80"/>
        <w:ind w:firstLine="709"/>
        <w:jc w:val="both"/>
        <w:rPr>
          <w:rFonts w:ascii="Times New Roman" w:eastAsia="Times New Roman" w:hAnsi="Times New Roman" w:cs="Times New Roman"/>
          <w:i/>
          <w:color w:val="000000" w:themeColor="text1"/>
          <w:sz w:val="28"/>
          <w:szCs w:val="28"/>
          <w:lang w:val="pt-BR" w:eastAsia="en-GB"/>
        </w:rPr>
      </w:pPr>
    </w:p>
    <w:tbl>
      <w:tblPr>
        <w:tblW w:w="9045" w:type="dxa"/>
        <w:tblInd w:w="142" w:type="dxa"/>
        <w:tblLook w:val="01E0" w:firstRow="1" w:lastRow="1" w:firstColumn="1" w:lastColumn="1" w:noHBand="0" w:noVBand="0"/>
      </w:tblPr>
      <w:tblGrid>
        <w:gridCol w:w="4678"/>
        <w:gridCol w:w="4367"/>
      </w:tblGrid>
      <w:tr w:rsidR="000845E1" w:rsidRPr="000845E1" w14:paraId="3BCB6FE3" w14:textId="77777777" w:rsidTr="001B42DB">
        <w:tc>
          <w:tcPr>
            <w:tcW w:w="4678" w:type="dxa"/>
          </w:tcPr>
          <w:p w14:paraId="1ACF72C7" w14:textId="77777777" w:rsidR="000845E1" w:rsidRPr="00C37CFB" w:rsidRDefault="000845E1" w:rsidP="001B42DB">
            <w:pPr>
              <w:spacing w:line="260" w:lineRule="exact"/>
              <w:ind w:right="-164"/>
              <w:jc w:val="both"/>
              <w:rPr>
                <w:rFonts w:ascii="Times New Roman" w:hAnsi="Times New Roman" w:cs="Times New Roman"/>
                <w:sz w:val="24"/>
                <w:szCs w:val="24"/>
                <w:lang w:val="vi-VN"/>
              </w:rPr>
            </w:pPr>
            <w:r w:rsidRPr="00C37CFB">
              <w:rPr>
                <w:rFonts w:ascii="Times New Roman" w:hAnsi="Times New Roman" w:cs="Times New Roman"/>
                <w:b/>
                <w:bCs/>
                <w:i/>
                <w:iCs/>
                <w:sz w:val="24"/>
                <w:szCs w:val="24"/>
                <w:lang w:val="vi-VN"/>
              </w:rPr>
              <w:t>Nơi nhận</w:t>
            </w:r>
            <w:r w:rsidRPr="00C37CFB">
              <w:rPr>
                <w:rFonts w:ascii="Times New Roman" w:hAnsi="Times New Roman" w:cs="Times New Roman"/>
                <w:sz w:val="24"/>
                <w:szCs w:val="24"/>
                <w:lang w:val="vi-VN"/>
              </w:rPr>
              <w:t xml:space="preserve">: </w:t>
            </w:r>
          </w:p>
          <w:p w14:paraId="23730C65" w14:textId="77777777" w:rsidR="000845E1" w:rsidRPr="000845E1" w:rsidRDefault="000845E1" w:rsidP="001B42DB">
            <w:pPr>
              <w:spacing w:line="260" w:lineRule="exact"/>
              <w:rPr>
                <w:rFonts w:ascii="Times New Roman" w:hAnsi="Times New Roman" w:cs="Times New Roman"/>
                <w:sz w:val="22"/>
                <w:szCs w:val="22"/>
                <w:lang w:val="vi-VN"/>
              </w:rPr>
            </w:pPr>
            <w:r w:rsidRPr="000845E1">
              <w:rPr>
                <w:rFonts w:ascii="Times New Roman" w:hAnsi="Times New Roman" w:cs="Times New Roman"/>
                <w:sz w:val="22"/>
                <w:szCs w:val="22"/>
                <w:lang w:val="vi-VN"/>
              </w:rPr>
              <w:t>- Ủy ban Thường vụ Quốc hội;</w:t>
            </w:r>
          </w:p>
          <w:p w14:paraId="0FAF38D7" w14:textId="77777777" w:rsidR="000845E1" w:rsidRPr="000845E1" w:rsidRDefault="000845E1" w:rsidP="001B42DB">
            <w:pPr>
              <w:spacing w:line="260" w:lineRule="exact"/>
              <w:jc w:val="both"/>
              <w:rPr>
                <w:rFonts w:ascii="Times New Roman" w:hAnsi="Times New Roman" w:cs="Times New Roman"/>
                <w:sz w:val="22"/>
                <w:szCs w:val="22"/>
                <w:lang w:val="vi-VN"/>
              </w:rPr>
            </w:pPr>
            <w:r w:rsidRPr="000845E1">
              <w:rPr>
                <w:rFonts w:ascii="Times New Roman" w:hAnsi="Times New Roman" w:cs="Times New Roman"/>
                <w:sz w:val="22"/>
                <w:szCs w:val="22"/>
                <w:lang w:val="vi-VN"/>
              </w:rPr>
              <w:t>- Chính phủ;</w:t>
            </w:r>
          </w:p>
          <w:p w14:paraId="502441C8" w14:textId="77777777" w:rsidR="000845E1" w:rsidRPr="000845E1" w:rsidRDefault="000845E1" w:rsidP="001B42DB">
            <w:pPr>
              <w:spacing w:line="260" w:lineRule="exact"/>
              <w:jc w:val="both"/>
              <w:rPr>
                <w:rFonts w:ascii="Times New Roman" w:hAnsi="Times New Roman" w:cs="Times New Roman"/>
                <w:sz w:val="22"/>
                <w:szCs w:val="22"/>
                <w:lang w:val="vi-VN"/>
              </w:rPr>
            </w:pPr>
            <w:r w:rsidRPr="000845E1">
              <w:rPr>
                <w:rFonts w:ascii="Times New Roman" w:hAnsi="Times New Roman" w:cs="Times New Roman"/>
                <w:sz w:val="22"/>
                <w:szCs w:val="22"/>
                <w:lang w:val="vi-VN"/>
              </w:rPr>
              <w:t>- Văn phòng Quốc hội (A+B);</w:t>
            </w:r>
          </w:p>
          <w:p w14:paraId="19FC7FE8"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Văn phòng Chính phủ (A+B);</w:t>
            </w:r>
          </w:p>
          <w:p w14:paraId="06C3B07D"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Các Bộ: Tài chính, Nội vụ;</w:t>
            </w:r>
          </w:p>
          <w:p w14:paraId="1C5670A5"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Cục Kiểm tra VB &amp; QLXLVPHC - Bộ Tư pháp;</w:t>
            </w:r>
          </w:p>
          <w:p w14:paraId="3B2C3D7D" w14:textId="77777777" w:rsidR="000845E1" w:rsidRPr="000845E1" w:rsidRDefault="000845E1" w:rsidP="001B42DB">
            <w:pPr>
              <w:spacing w:line="260" w:lineRule="exact"/>
              <w:rPr>
                <w:rFonts w:ascii="Times New Roman" w:hAnsi="Times New Roman" w:cs="Times New Roman"/>
                <w:sz w:val="22"/>
                <w:szCs w:val="22"/>
              </w:rPr>
            </w:pPr>
            <w:r w:rsidRPr="000845E1">
              <w:rPr>
                <w:rFonts w:ascii="Times New Roman" w:hAnsi="Times New Roman" w:cs="Times New Roman"/>
                <w:sz w:val="22"/>
                <w:szCs w:val="22"/>
              </w:rPr>
              <w:t>- Thường trực Tỉnh ủy;</w:t>
            </w:r>
          </w:p>
          <w:p w14:paraId="2B3FAC31" w14:textId="77777777" w:rsidR="000845E1" w:rsidRPr="000845E1" w:rsidRDefault="000845E1" w:rsidP="001B42DB">
            <w:pPr>
              <w:spacing w:line="260" w:lineRule="exact"/>
              <w:rPr>
                <w:rFonts w:ascii="Times New Roman" w:hAnsi="Times New Roman" w:cs="Times New Roman"/>
                <w:sz w:val="22"/>
                <w:szCs w:val="22"/>
              </w:rPr>
            </w:pPr>
            <w:r w:rsidRPr="000845E1">
              <w:rPr>
                <w:rFonts w:ascii="Times New Roman" w:hAnsi="Times New Roman" w:cs="Times New Roman"/>
                <w:sz w:val="22"/>
                <w:szCs w:val="22"/>
              </w:rPr>
              <w:t>- Thường trực HĐND tỉnh,</w:t>
            </w:r>
          </w:p>
          <w:p w14:paraId="44BDAE17"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Chủ tịch, các PCT UBND tỉnh;</w:t>
            </w:r>
          </w:p>
          <w:p w14:paraId="3BCC7D79"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Ủy ban MTTQVN tỉnh và các đoàn thể;</w:t>
            </w:r>
          </w:p>
          <w:p w14:paraId="2EF671FC" w14:textId="77777777" w:rsidR="000845E1" w:rsidRPr="000845E1" w:rsidRDefault="000845E1" w:rsidP="001B42DB">
            <w:pPr>
              <w:spacing w:line="260" w:lineRule="exact"/>
              <w:rPr>
                <w:rFonts w:ascii="Times New Roman" w:hAnsi="Times New Roman" w:cs="Times New Roman"/>
                <w:sz w:val="22"/>
                <w:szCs w:val="22"/>
              </w:rPr>
            </w:pPr>
            <w:r w:rsidRPr="000845E1">
              <w:rPr>
                <w:rFonts w:ascii="Times New Roman" w:hAnsi="Times New Roman" w:cs="Times New Roman"/>
                <w:sz w:val="22"/>
                <w:szCs w:val="22"/>
              </w:rPr>
              <w:t>- Đoàn Đại biểu Quốc hội tỉnh;</w:t>
            </w:r>
          </w:p>
          <w:p w14:paraId="3F7FA105"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Đại biểu HĐND tỉnh;</w:t>
            </w:r>
          </w:p>
          <w:p w14:paraId="1E5119CE" w14:textId="77777777" w:rsidR="000845E1" w:rsidRPr="000845E1" w:rsidRDefault="000845E1" w:rsidP="001B42DB">
            <w:pPr>
              <w:spacing w:line="260" w:lineRule="exact"/>
              <w:rPr>
                <w:rFonts w:ascii="Times New Roman" w:hAnsi="Times New Roman" w:cs="Times New Roman"/>
                <w:sz w:val="22"/>
                <w:szCs w:val="22"/>
              </w:rPr>
            </w:pPr>
            <w:r w:rsidRPr="000845E1">
              <w:rPr>
                <w:rFonts w:ascii="Times New Roman" w:hAnsi="Times New Roman" w:cs="Times New Roman"/>
                <w:sz w:val="22"/>
                <w:szCs w:val="22"/>
              </w:rPr>
              <w:t>- VKSND, TAND, CTHADS tỉnh;</w:t>
            </w:r>
          </w:p>
          <w:p w14:paraId="2857B746"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xml:space="preserve">- Các Sở, ban, ngành;  </w:t>
            </w:r>
          </w:p>
          <w:p w14:paraId="481EBE30"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xml:space="preserve">- Văn phòng: Tỉnh ủy, Đoàn ĐBQH và HĐND tỉnh, UBND tỉnh;                                    </w:t>
            </w:r>
          </w:p>
          <w:p w14:paraId="5E731565"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Đảng ủy, TT. HĐND, UBND cấp xã;</w:t>
            </w:r>
          </w:p>
          <w:p w14:paraId="0008BB5B"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Báo và Phát thanh - Truyền hình Đồng Nai</w:t>
            </w:r>
          </w:p>
          <w:p w14:paraId="6A08489B" w14:textId="77777777"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(đưa tin và đăng tải trên Cổng thông tin điện tử);</w:t>
            </w:r>
          </w:p>
          <w:p w14:paraId="5AD64524" w14:textId="5F961E49" w:rsidR="000845E1" w:rsidRPr="000845E1" w:rsidRDefault="000845E1" w:rsidP="001B42DB">
            <w:pPr>
              <w:spacing w:line="260" w:lineRule="exact"/>
              <w:jc w:val="both"/>
              <w:rPr>
                <w:rFonts w:ascii="Times New Roman" w:hAnsi="Times New Roman" w:cs="Times New Roman"/>
                <w:sz w:val="22"/>
                <w:szCs w:val="22"/>
              </w:rPr>
            </w:pPr>
            <w:r w:rsidRPr="000845E1">
              <w:rPr>
                <w:rFonts w:ascii="Times New Roman" w:hAnsi="Times New Roman" w:cs="Times New Roman"/>
                <w:sz w:val="22"/>
                <w:szCs w:val="22"/>
              </w:rPr>
              <w:t>- Lưu: VT, PCTHĐ.</w:t>
            </w:r>
          </w:p>
          <w:p w14:paraId="69274D98" w14:textId="77777777" w:rsidR="000845E1" w:rsidRPr="000845E1" w:rsidRDefault="000845E1" w:rsidP="001B42DB">
            <w:pPr>
              <w:spacing w:line="264" w:lineRule="auto"/>
              <w:ind w:right="-164"/>
              <w:jc w:val="both"/>
              <w:rPr>
                <w:rFonts w:ascii="Times New Roman" w:hAnsi="Times New Roman" w:cs="Times New Roman"/>
                <w:sz w:val="22"/>
                <w:szCs w:val="22"/>
              </w:rPr>
            </w:pPr>
          </w:p>
        </w:tc>
        <w:tc>
          <w:tcPr>
            <w:tcW w:w="4367" w:type="dxa"/>
          </w:tcPr>
          <w:p w14:paraId="23D8A00E" w14:textId="77777777" w:rsidR="000845E1" w:rsidRPr="000845E1" w:rsidRDefault="000845E1" w:rsidP="001B42DB">
            <w:pPr>
              <w:spacing w:line="264" w:lineRule="auto"/>
              <w:jc w:val="center"/>
              <w:rPr>
                <w:rFonts w:ascii="Times New Roman" w:hAnsi="Times New Roman" w:cs="Times New Roman"/>
                <w:b/>
                <w:bCs/>
                <w:sz w:val="28"/>
                <w:szCs w:val="28"/>
              </w:rPr>
            </w:pPr>
            <w:r w:rsidRPr="000845E1">
              <w:rPr>
                <w:rFonts w:ascii="Times New Roman" w:hAnsi="Times New Roman" w:cs="Times New Roman"/>
                <w:b/>
                <w:bCs/>
                <w:sz w:val="28"/>
                <w:szCs w:val="28"/>
              </w:rPr>
              <w:t>CHỦ TỊCH</w:t>
            </w:r>
          </w:p>
          <w:p w14:paraId="4880F8C6" w14:textId="77777777" w:rsidR="000845E1" w:rsidRPr="000845E1" w:rsidRDefault="000845E1" w:rsidP="001B42DB">
            <w:pPr>
              <w:spacing w:line="264" w:lineRule="auto"/>
              <w:jc w:val="center"/>
              <w:rPr>
                <w:rFonts w:ascii="Times New Roman" w:hAnsi="Times New Roman" w:cs="Times New Roman"/>
                <w:b/>
                <w:bCs/>
                <w:sz w:val="28"/>
                <w:szCs w:val="28"/>
              </w:rPr>
            </w:pPr>
          </w:p>
          <w:p w14:paraId="16D4ACE8" w14:textId="77777777" w:rsidR="000845E1" w:rsidRPr="000845E1" w:rsidRDefault="000845E1" w:rsidP="001B42DB">
            <w:pPr>
              <w:spacing w:line="264" w:lineRule="auto"/>
              <w:jc w:val="center"/>
              <w:rPr>
                <w:rFonts w:ascii="Times New Roman" w:hAnsi="Times New Roman" w:cs="Times New Roman"/>
                <w:b/>
                <w:bCs/>
                <w:sz w:val="28"/>
                <w:szCs w:val="28"/>
              </w:rPr>
            </w:pPr>
          </w:p>
          <w:p w14:paraId="77FA061D" w14:textId="77777777" w:rsidR="000845E1" w:rsidRPr="000845E1" w:rsidRDefault="000845E1" w:rsidP="001B42DB">
            <w:pPr>
              <w:spacing w:line="264" w:lineRule="auto"/>
              <w:jc w:val="center"/>
              <w:rPr>
                <w:rFonts w:ascii="Times New Roman" w:hAnsi="Times New Roman" w:cs="Times New Roman"/>
                <w:b/>
                <w:bCs/>
                <w:sz w:val="2"/>
                <w:szCs w:val="28"/>
              </w:rPr>
            </w:pPr>
          </w:p>
          <w:p w14:paraId="4DC96B77" w14:textId="77777777" w:rsidR="000845E1" w:rsidRPr="000845E1" w:rsidRDefault="000845E1" w:rsidP="001B42DB">
            <w:pPr>
              <w:spacing w:line="264" w:lineRule="auto"/>
              <w:jc w:val="center"/>
              <w:rPr>
                <w:rFonts w:ascii="Times New Roman" w:hAnsi="Times New Roman" w:cs="Times New Roman"/>
                <w:b/>
                <w:bCs/>
                <w:sz w:val="28"/>
                <w:szCs w:val="28"/>
              </w:rPr>
            </w:pPr>
          </w:p>
          <w:p w14:paraId="432C817B" w14:textId="77777777" w:rsidR="000845E1" w:rsidRPr="000845E1" w:rsidRDefault="000845E1" w:rsidP="001B42DB">
            <w:pPr>
              <w:spacing w:line="264" w:lineRule="auto"/>
              <w:jc w:val="center"/>
              <w:rPr>
                <w:rFonts w:ascii="Times New Roman" w:hAnsi="Times New Roman" w:cs="Times New Roman"/>
                <w:b/>
                <w:bCs/>
                <w:sz w:val="28"/>
                <w:szCs w:val="28"/>
              </w:rPr>
            </w:pPr>
          </w:p>
          <w:p w14:paraId="1D702FF1" w14:textId="77777777" w:rsidR="000845E1" w:rsidRPr="000845E1" w:rsidRDefault="000845E1" w:rsidP="001B42DB">
            <w:pPr>
              <w:spacing w:line="264" w:lineRule="auto"/>
              <w:jc w:val="center"/>
              <w:rPr>
                <w:rFonts w:ascii="Times New Roman" w:hAnsi="Times New Roman" w:cs="Times New Roman"/>
                <w:b/>
                <w:bCs/>
                <w:sz w:val="28"/>
                <w:szCs w:val="28"/>
              </w:rPr>
            </w:pPr>
          </w:p>
          <w:p w14:paraId="73EBE55F" w14:textId="77777777" w:rsidR="000845E1" w:rsidRPr="000845E1" w:rsidRDefault="000845E1" w:rsidP="001B42DB">
            <w:pPr>
              <w:spacing w:line="264" w:lineRule="auto"/>
              <w:jc w:val="center"/>
              <w:rPr>
                <w:rFonts w:ascii="Times New Roman" w:hAnsi="Times New Roman" w:cs="Times New Roman"/>
                <w:b/>
                <w:bCs/>
                <w:sz w:val="28"/>
                <w:szCs w:val="28"/>
              </w:rPr>
            </w:pPr>
            <w:r w:rsidRPr="000845E1">
              <w:rPr>
                <w:rFonts w:ascii="Times New Roman" w:hAnsi="Times New Roman" w:cs="Times New Roman"/>
                <w:b/>
                <w:bCs/>
                <w:sz w:val="28"/>
                <w:szCs w:val="28"/>
              </w:rPr>
              <w:t>Tôn Ngọc Hạnh</w:t>
            </w:r>
          </w:p>
        </w:tc>
      </w:tr>
    </w:tbl>
    <w:p w14:paraId="0BE74100" w14:textId="77777777" w:rsidR="000845E1" w:rsidRPr="000845E1" w:rsidRDefault="000845E1" w:rsidP="004E17CB">
      <w:pPr>
        <w:tabs>
          <w:tab w:val="left" w:pos="851"/>
          <w:tab w:val="left" w:pos="990"/>
        </w:tabs>
        <w:spacing w:before="80"/>
        <w:ind w:firstLine="709"/>
        <w:jc w:val="both"/>
        <w:rPr>
          <w:rFonts w:ascii="Times New Roman" w:eastAsia="Times New Roman" w:hAnsi="Times New Roman" w:cs="Times New Roman"/>
          <w:i/>
          <w:color w:val="000000" w:themeColor="text1"/>
          <w:sz w:val="28"/>
          <w:szCs w:val="28"/>
          <w:lang w:eastAsia="en-GB"/>
        </w:rPr>
      </w:pPr>
    </w:p>
    <w:p w14:paraId="01766093" w14:textId="7503D77F" w:rsidR="00E07346" w:rsidRPr="000845E1" w:rsidRDefault="00E07346">
      <w:pPr>
        <w:rPr>
          <w:rFonts w:ascii="Times New Roman" w:eastAsia="Times New Roman" w:hAnsi="Times New Roman" w:cs="Times New Roman"/>
          <w:sz w:val="28"/>
          <w:szCs w:val="28"/>
        </w:rPr>
      </w:pPr>
    </w:p>
    <w:sectPr w:rsidR="00E07346" w:rsidRPr="000845E1" w:rsidSect="00C37CFB">
      <w:headerReference w:type="default" r:id="rId10"/>
      <w:headerReference w:type="first" r:id="rId11"/>
      <w:pgSz w:w="11907" w:h="16840"/>
      <w:pgMar w:top="1021" w:right="1021" w:bottom="1021" w:left="1588" w:header="454" w:footer="9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7F63" w14:textId="77777777" w:rsidR="00A17526" w:rsidRDefault="00A17526">
      <w:r>
        <w:separator/>
      </w:r>
    </w:p>
  </w:endnote>
  <w:endnote w:type="continuationSeparator" w:id="0">
    <w:p w14:paraId="479320CA" w14:textId="77777777" w:rsidR="00A17526" w:rsidRDefault="00A1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9270C" w14:textId="77777777" w:rsidR="00A17526" w:rsidRDefault="00A17526">
      <w:r>
        <w:separator/>
      </w:r>
    </w:p>
  </w:footnote>
  <w:footnote w:type="continuationSeparator" w:id="0">
    <w:p w14:paraId="7EDCFB65" w14:textId="77777777" w:rsidR="00A17526" w:rsidRDefault="00A1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21201"/>
    </w:sdtPr>
    <w:sdtEndPr>
      <w:rPr>
        <w:rFonts w:ascii="Times New Roman" w:hAnsi="Times New Roman" w:cs="Times New Roman"/>
        <w:sz w:val="25"/>
        <w:szCs w:val="25"/>
      </w:rPr>
    </w:sdtEndPr>
    <w:sdtContent>
      <w:p w14:paraId="24AF946E" w14:textId="4773C6EE" w:rsidR="00E07346" w:rsidRDefault="0061640C">
        <w:pPr>
          <w:pStyle w:val="Header"/>
          <w:jc w:val="center"/>
          <w:rPr>
            <w:rFonts w:ascii="Times New Roman" w:hAnsi="Times New Roman" w:cs="Times New Roman"/>
            <w:sz w:val="25"/>
            <w:szCs w:val="25"/>
          </w:rPr>
        </w:pPr>
        <w:r>
          <w:rPr>
            <w:rFonts w:ascii="Times New Roman" w:hAnsi="Times New Roman" w:cs="Times New Roman"/>
            <w:sz w:val="25"/>
            <w:szCs w:val="25"/>
          </w:rPr>
          <w:fldChar w:fldCharType="begin"/>
        </w:r>
        <w:r>
          <w:rPr>
            <w:rFonts w:ascii="Times New Roman" w:hAnsi="Times New Roman" w:cs="Times New Roman"/>
            <w:sz w:val="25"/>
            <w:szCs w:val="25"/>
          </w:rPr>
          <w:instrText xml:space="preserve"> PAGE   \* MERGEFORMAT </w:instrText>
        </w:r>
        <w:r>
          <w:rPr>
            <w:rFonts w:ascii="Times New Roman" w:hAnsi="Times New Roman" w:cs="Times New Roman"/>
            <w:sz w:val="25"/>
            <w:szCs w:val="25"/>
          </w:rPr>
          <w:fldChar w:fldCharType="separate"/>
        </w:r>
        <w:r w:rsidR="00772254">
          <w:rPr>
            <w:rFonts w:ascii="Times New Roman" w:hAnsi="Times New Roman" w:cs="Times New Roman"/>
            <w:noProof/>
            <w:sz w:val="25"/>
            <w:szCs w:val="25"/>
          </w:rPr>
          <w:t>2</w:t>
        </w:r>
        <w:r>
          <w:rPr>
            <w:rFonts w:ascii="Times New Roman" w:hAnsi="Times New Roman" w:cs="Times New Roman"/>
            <w:sz w:val="25"/>
            <w:szCs w:val="25"/>
          </w:rPr>
          <w:fldChar w:fldCharType="end"/>
        </w:r>
      </w:p>
    </w:sdtContent>
  </w:sdt>
  <w:p w14:paraId="7EDE0E1C" w14:textId="77777777" w:rsidR="00E07346" w:rsidRDefault="00E073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109" w14:textId="77777777" w:rsidR="00E07346" w:rsidRDefault="00E07346">
    <w:pPr>
      <w:pStyle w:val="Header"/>
      <w:jc w:val="center"/>
    </w:pPr>
  </w:p>
  <w:p w14:paraId="3227C4B7" w14:textId="77777777" w:rsidR="00E07346" w:rsidRDefault="00E07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A4E04"/>
    <w:multiLevelType w:val="hybridMultilevel"/>
    <w:tmpl w:val="EB9ECA60"/>
    <w:lvl w:ilvl="0" w:tplc="81865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FB5998"/>
    <w:multiLevelType w:val="hybridMultilevel"/>
    <w:tmpl w:val="A2A2941E"/>
    <w:lvl w:ilvl="0" w:tplc="F26CC9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7017159">
    <w:abstractNumId w:val="0"/>
  </w:num>
  <w:num w:numId="2" w16cid:durableId="795677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F59"/>
    <w:rsid w:val="00003E30"/>
    <w:rsid w:val="0000529E"/>
    <w:rsid w:val="0000599B"/>
    <w:rsid w:val="00005DD9"/>
    <w:rsid w:val="00011304"/>
    <w:rsid w:val="00017EB1"/>
    <w:rsid w:val="00025D05"/>
    <w:rsid w:val="0002767B"/>
    <w:rsid w:val="00033475"/>
    <w:rsid w:val="000339B3"/>
    <w:rsid w:val="00033BB8"/>
    <w:rsid w:val="00040DC8"/>
    <w:rsid w:val="000424C9"/>
    <w:rsid w:val="000460C8"/>
    <w:rsid w:val="00050D24"/>
    <w:rsid w:val="00052415"/>
    <w:rsid w:val="00054B78"/>
    <w:rsid w:val="000600BE"/>
    <w:rsid w:val="000666F5"/>
    <w:rsid w:val="00072FE5"/>
    <w:rsid w:val="000845E1"/>
    <w:rsid w:val="0008524C"/>
    <w:rsid w:val="000857BA"/>
    <w:rsid w:val="00093A5C"/>
    <w:rsid w:val="000A22EB"/>
    <w:rsid w:val="000C0EE9"/>
    <w:rsid w:val="000C312C"/>
    <w:rsid w:val="000C4734"/>
    <w:rsid w:val="000C6160"/>
    <w:rsid w:val="000D3741"/>
    <w:rsid w:val="000D6DA3"/>
    <w:rsid w:val="000E0EF2"/>
    <w:rsid w:val="000E1475"/>
    <w:rsid w:val="000E2235"/>
    <w:rsid w:val="000F25B4"/>
    <w:rsid w:val="000F2827"/>
    <w:rsid w:val="000F7BB8"/>
    <w:rsid w:val="00110ABF"/>
    <w:rsid w:val="0011416F"/>
    <w:rsid w:val="00115F7A"/>
    <w:rsid w:val="00125760"/>
    <w:rsid w:val="00135442"/>
    <w:rsid w:val="00151819"/>
    <w:rsid w:val="00154021"/>
    <w:rsid w:val="001567D6"/>
    <w:rsid w:val="00156CE6"/>
    <w:rsid w:val="00164BE6"/>
    <w:rsid w:val="001653C6"/>
    <w:rsid w:val="001733F5"/>
    <w:rsid w:val="00173A9C"/>
    <w:rsid w:val="00176C90"/>
    <w:rsid w:val="0018547C"/>
    <w:rsid w:val="00190124"/>
    <w:rsid w:val="00194662"/>
    <w:rsid w:val="00196976"/>
    <w:rsid w:val="001A1CAC"/>
    <w:rsid w:val="001A45D8"/>
    <w:rsid w:val="001A61F5"/>
    <w:rsid w:val="001B1CEE"/>
    <w:rsid w:val="001B288E"/>
    <w:rsid w:val="001B7222"/>
    <w:rsid w:val="001C049D"/>
    <w:rsid w:val="001C0668"/>
    <w:rsid w:val="001C61B9"/>
    <w:rsid w:val="001D01C1"/>
    <w:rsid w:val="001E1B77"/>
    <w:rsid w:val="001E5E7E"/>
    <w:rsid w:val="001F214F"/>
    <w:rsid w:val="001F3A33"/>
    <w:rsid w:val="001F46CA"/>
    <w:rsid w:val="002025CF"/>
    <w:rsid w:val="002037C9"/>
    <w:rsid w:val="00223AB9"/>
    <w:rsid w:val="002249A5"/>
    <w:rsid w:val="0022758A"/>
    <w:rsid w:val="002275F0"/>
    <w:rsid w:val="00227BAC"/>
    <w:rsid w:val="00233C8F"/>
    <w:rsid w:val="00235FC9"/>
    <w:rsid w:val="002367A6"/>
    <w:rsid w:val="00237A7F"/>
    <w:rsid w:val="00241E5A"/>
    <w:rsid w:val="002435BF"/>
    <w:rsid w:val="00247CDC"/>
    <w:rsid w:val="00262865"/>
    <w:rsid w:val="00263B60"/>
    <w:rsid w:val="00280B85"/>
    <w:rsid w:val="002B03CA"/>
    <w:rsid w:val="002B34DA"/>
    <w:rsid w:val="002C02FF"/>
    <w:rsid w:val="002C2D1F"/>
    <w:rsid w:val="002C43C2"/>
    <w:rsid w:val="002D79F3"/>
    <w:rsid w:val="002E2419"/>
    <w:rsid w:val="002F34F2"/>
    <w:rsid w:val="003042B7"/>
    <w:rsid w:val="00310F18"/>
    <w:rsid w:val="003117E3"/>
    <w:rsid w:val="00314F68"/>
    <w:rsid w:val="00323DD6"/>
    <w:rsid w:val="00346A8D"/>
    <w:rsid w:val="00347EA4"/>
    <w:rsid w:val="00357157"/>
    <w:rsid w:val="00360885"/>
    <w:rsid w:val="00360977"/>
    <w:rsid w:val="00360C9A"/>
    <w:rsid w:val="003654D3"/>
    <w:rsid w:val="003671E0"/>
    <w:rsid w:val="00370BC0"/>
    <w:rsid w:val="00370DA4"/>
    <w:rsid w:val="003718BE"/>
    <w:rsid w:val="00375683"/>
    <w:rsid w:val="00380AA4"/>
    <w:rsid w:val="00380B70"/>
    <w:rsid w:val="0038345A"/>
    <w:rsid w:val="00383E45"/>
    <w:rsid w:val="00391F02"/>
    <w:rsid w:val="003A3A04"/>
    <w:rsid w:val="003B5609"/>
    <w:rsid w:val="003D1F31"/>
    <w:rsid w:val="003D683B"/>
    <w:rsid w:val="003D68CF"/>
    <w:rsid w:val="003E178B"/>
    <w:rsid w:val="003E21E8"/>
    <w:rsid w:val="003E322F"/>
    <w:rsid w:val="003F0218"/>
    <w:rsid w:val="003F0924"/>
    <w:rsid w:val="003F1C6B"/>
    <w:rsid w:val="003F301E"/>
    <w:rsid w:val="00400471"/>
    <w:rsid w:val="00402C0B"/>
    <w:rsid w:val="00403FB5"/>
    <w:rsid w:val="00410A12"/>
    <w:rsid w:val="004143DF"/>
    <w:rsid w:val="00447451"/>
    <w:rsid w:val="00447637"/>
    <w:rsid w:val="0045697A"/>
    <w:rsid w:val="00457DB2"/>
    <w:rsid w:val="004657C3"/>
    <w:rsid w:val="00477E4D"/>
    <w:rsid w:val="00485D3C"/>
    <w:rsid w:val="004861AE"/>
    <w:rsid w:val="0048778C"/>
    <w:rsid w:val="00490ED6"/>
    <w:rsid w:val="004955FA"/>
    <w:rsid w:val="004B34C9"/>
    <w:rsid w:val="004B41E2"/>
    <w:rsid w:val="004C2212"/>
    <w:rsid w:val="004D174C"/>
    <w:rsid w:val="004D5171"/>
    <w:rsid w:val="004E0BCC"/>
    <w:rsid w:val="004E17CB"/>
    <w:rsid w:val="004E6FF0"/>
    <w:rsid w:val="004F050A"/>
    <w:rsid w:val="00500152"/>
    <w:rsid w:val="00504E08"/>
    <w:rsid w:val="00506D4F"/>
    <w:rsid w:val="005079AD"/>
    <w:rsid w:val="00510AE1"/>
    <w:rsid w:val="00517A35"/>
    <w:rsid w:val="00517F36"/>
    <w:rsid w:val="00524341"/>
    <w:rsid w:val="00543D0B"/>
    <w:rsid w:val="00544EDC"/>
    <w:rsid w:val="00547055"/>
    <w:rsid w:val="005575C1"/>
    <w:rsid w:val="00560732"/>
    <w:rsid w:val="00567A48"/>
    <w:rsid w:val="00577668"/>
    <w:rsid w:val="005832A1"/>
    <w:rsid w:val="00584AE1"/>
    <w:rsid w:val="00591042"/>
    <w:rsid w:val="00591547"/>
    <w:rsid w:val="005A10ED"/>
    <w:rsid w:val="005A26AA"/>
    <w:rsid w:val="005B06E9"/>
    <w:rsid w:val="005B2BE4"/>
    <w:rsid w:val="005B3B97"/>
    <w:rsid w:val="005B5CA5"/>
    <w:rsid w:val="005C0E7F"/>
    <w:rsid w:val="005C4E9A"/>
    <w:rsid w:val="005D1DEE"/>
    <w:rsid w:val="005D7D00"/>
    <w:rsid w:val="006007E3"/>
    <w:rsid w:val="00605402"/>
    <w:rsid w:val="0061640C"/>
    <w:rsid w:val="006237C2"/>
    <w:rsid w:val="00625162"/>
    <w:rsid w:val="006274BF"/>
    <w:rsid w:val="00627CEC"/>
    <w:rsid w:val="00630550"/>
    <w:rsid w:val="00642C36"/>
    <w:rsid w:val="00647A58"/>
    <w:rsid w:val="006532D7"/>
    <w:rsid w:val="00654204"/>
    <w:rsid w:val="00654AAD"/>
    <w:rsid w:val="00654D3B"/>
    <w:rsid w:val="00661BAA"/>
    <w:rsid w:val="006648B2"/>
    <w:rsid w:val="00665D95"/>
    <w:rsid w:val="006735A1"/>
    <w:rsid w:val="00677457"/>
    <w:rsid w:val="0068114C"/>
    <w:rsid w:val="00685312"/>
    <w:rsid w:val="006876FD"/>
    <w:rsid w:val="006A1A42"/>
    <w:rsid w:val="006A40F4"/>
    <w:rsid w:val="006A75E9"/>
    <w:rsid w:val="006A7AFF"/>
    <w:rsid w:val="006B167B"/>
    <w:rsid w:val="006B5E1C"/>
    <w:rsid w:val="006C071F"/>
    <w:rsid w:val="006C1C0E"/>
    <w:rsid w:val="006C1DF6"/>
    <w:rsid w:val="006C551A"/>
    <w:rsid w:val="006C7E27"/>
    <w:rsid w:val="006D63C2"/>
    <w:rsid w:val="006F527A"/>
    <w:rsid w:val="0070058F"/>
    <w:rsid w:val="00703D5F"/>
    <w:rsid w:val="007212B9"/>
    <w:rsid w:val="00722B9D"/>
    <w:rsid w:val="00722DC2"/>
    <w:rsid w:val="007400CA"/>
    <w:rsid w:val="007417D9"/>
    <w:rsid w:val="00746706"/>
    <w:rsid w:val="00747B0F"/>
    <w:rsid w:val="00755BB4"/>
    <w:rsid w:val="00760AFC"/>
    <w:rsid w:val="00760CF3"/>
    <w:rsid w:val="00771119"/>
    <w:rsid w:val="00771FBF"/>
    <w:rsid w:val="00772254"/>
    <w:rsid w:val="00773D64"/>
    <w:rsid w:val="0077716D"/>
    <w:rsid w:val="00783031"/>
    <w:rsid w:val="00783D74"/>
    <w:rsid w:val="00784157"/>
    <w:rsid w:val="00784F21"/>
    <w:rsid w:val="00793E17"/>
    <w:rsid w:val="007944FE"/>
    <w:rsid w:val="007A40BC"/>
    <w:rsid w:val="007A4CCF"/>
    <w:rsid w:val="007A51D9"/>
    <w:rsid w:val="007A533E"/>
    <w:rsid w:val="007B33BE"/>
    <w:rsid w:val="007B5B9A"/>
    <w:rsid w:val="007B72CE"/>
    <w:rsid w:val="007C35AF"/>
    <w:rsid w:val="007C78DD"/>
    <w:rsid w:val="007E2110"/>
    <w:rsid w:val="007E3BF9"/>
    <w:rsid w:val="007E714C"/>
    <w:rsid w:val="007F049B"/>
    <w:rsid w:val="007F3277"/>
    <w:rsid w:val="008077B1"/>
    <w:rsid w:val="00820E68"/>
    <w:rsid w:val="00821955"/>
    <w:rsid w:val="00823199"/>
    <w:rsid w:val="008262D5"/>
    <w:rsid w:val="00832C10"/>
    <w:rsid w:val="00834457"/>
    <w:rsid w:val="00836F24"/>
    <w:rsid w:val="0084063C"/>
    <w:rsid w:val="00840E6C"/>
    <w:rsid w:val="00841265"/>
    <w:rsid w:val="00845A39"/>
    <w:rsid w:val="00845C84"/>
    <w:rsid w:val="008461BC"/>
    <w:rsid w:val="0085360F"/>
    <w:rsid w:val="008647E7"/>
    <w:rsid w:val="00864F68"/>
    <w:rsid w:val="00886407"/>
    <w:rsid w:val="00891B2B"/>
    <w:rsid w:val="00894D98"/>
    <w:rsid w:val="008A02B1"/>
    <w:rsid w:val="008A3227"/>
    <w:rsid w:val="008A742B"/>
    <w:rsid w:val="008A7B1A"/>
    <w:rsid w:val="008B0122"/>
    <w:rsid w:val="008B382F"/>
    <w:rsid w:val="008B7671"/>
    <w:rsid w:val="008C144E"/>
    <w:rsid w:val="008C2D3C"/>
    <w:rsid w:val="008C53E0"/>
    <w:rsid w:val="008C7663"/>
    <w:rsid w:val="008D1AD3"/>
    <w:rsid w:val="008D6153"/>
    <w:rsid w:val="008E22BA"/>
    <w:rsid w:val="008E4C89"/>
    <w:rsid w:val="008F01A1"/>
    <w:rsid w:val="008F5058"/>
    <w:rsid w:val="008F5C8A"/>
    <w:rsid w:val="009026CB"/>
    <w:rsid w:val="00914D33"/>
    <w:rsid w:val="00923E3A"/>
    <w:rsid w:val="009250FB"/>
    <w:rsid w:val="00926BE5"/>
    <w:rsid w:val="0093341B"/>
    <w:rsid w:val="009416C6"/>
    <w:rsid w:val="00942F78"/>
    <w:rsid w:val="009457F4"/>
    <w:rsid w:val="009551D0"/>
    <w:rsid w:val="00955E87"/>
    <w:rsid w:val="009624ED"/>
    <w:rsid w:val="00963FF3"/>
    <w:rsid w:val="00965159"/>
    <w:rsid w:val="009677C3"/>
    <w:rsid w:val="0097185B"/>
    <w:rsid w:val="009754EB"/>
    <w:rsid w:val="00981968"/>
    <w:rsid w:val="009D7373"/>
    <w:rsid w:val="009E5F38"/>
    <w:rsid w:val="009F10FB"/>
    <w:rsid w:val="009F423D"/>
    <w:rsid w:val="009F66B2"/>
    <w:rsid w:val="00A001D6"/>
    <w:rsid w:val="00A0624F"/>
    <w:rsid w:val="00A15232"/>
    <w:rsid w:val="00A16DFD"/>
    <w:rsid w:val="00A17526"/>
    <w:rsid w:val="00A21394"/>
    <w:rsid w:val="00A24B72"/>
    <w:rsid w:val="00A32DA1"/>
    <w:rsid w:val="00A5092A"/>
    <w:rsid w:val="00A536AB"/>
    <w:rsid w:val="00A5578D"/>
    <w:rsid w:val="00A5618D"/>
    <w:rsid w:val="00A6148C"/>
    <w:rsid w:val="00A61F5B"/>
    <w:rsid w:val="00A67734"/>
    <w:rsid w:val="00A71EB3"/>
    <w:rsid w:val="00A75486"/>
    <w:rsid w:val="00A809AD"/>
    <w:rsid w:val="00A87C61"/>
    <w:rsid w:val="00AA183B"/>
    <w:rsid w:val="00AC0EAC"/>
    <w:rsid w:val="00AC4183"/>
    <w:rsid w:val="00AD11E9"/>
    <w:rsid w:val="00AD18B3"/>
    <w:rsid w:val="00AD5AE4"/>
    <w:rsid w:val="00AD6AE5"/>
    <w:rsid w:val="00AE4716"/>
    <w:rsid w:val="00AE646D"/>
    <w:rsid w:val="00AF01FA"/>
    <w:rsid w:val="00B05C36"/>
    <w:rsid w:val="00B075AC"/>
    <w:rsid w:val="00B10373"/>
    <w:rsid w:val="00B24A80"/>
    <w:rsid w:val="00B27BA7"/>
    <w:rsid w:val="00B424E7"/>
    <w:rsid w:val="00B5491D"/>
    <w:rsid w:val="00B7682A"/>
    <w:rsid w:val="00B805FD"/>
    <w:rsid w:val="00B80FE8"/>
    <w:rsid w:val="00B81D97"/>
    <w:rsid w:val="00B8444B"/>
    <w:rsid w:val="00B85E2F"/>
    <w:rsid w:val="00B913CA"/>
    <w:rsid w:val="00B96F09"/>
    <w:rsid w:val="00BA2DDB"/>
    <w:rsid w:val="00BA6441"/>
    <w:rsid w:val="00BB085D"/>
    <w:rsid w:val="00BC0D8B"/>
    <w:rsid w:val="00BC639A"/>
    <w:rsid w:val="00BC657E"/>
    <w:rsid w:val="00BD0322"/>
    <w:rsid w:val="00BD0952"/>
    <w:rsid w:val="00BD161D"/>
    <w:rsid w:val="00BD4206"/>
    <w:rsid w:val="00BD6079"/>
    <w:rsid w:val="00BF3656"/>
    <w:rsid w:val="00BF5342"/>
    <w:rsid w:val="00BF5917"/>
    <w:rsid w:val="00BF7427"/>
    <w:rsid w:val="00C06CC6"/>
    <w:rsid w:val="00C07219"/>
    <w:rsid w:val="00C07B1A"/>
    <w:rsid w:val="00C10F9B"/>
    <w:rsid w:val="00C1273E"/>
    <w:rsid w:val="00C37B8B"/>
    <w:rsid w:val="00C37CFB"/>
    <w:rsid w:val="00C45406"/>
    <w:rsid w:val="00C45B75"/>
    <w:rsid w:val="00C5569E"/>
    <w:rsid w:val="00C66F59"/>
    <w:rsid w:val="00C67565"/>
    <w:rsid w:val="00C67AD2"/>
    <w:rsid w:val="00C74E9D"/>
    <w:rsid w:val="00C841D1"/>
    <w:rsid w:val="00C8493E"/>
    <w:rsid w:val="00C854EB"/>
    <w:rsid w:val="00C87212"/>
    <w:rsid w:val="00C9166F"/>
    <w:rsid w:val="00C92F8F"/>
    <w:rsid w:val="00CA1D11"/>
    <w:rsid w:val="00CA2DF4"/>
    <w:rsid w:val="00CB3426"/>
    <w:rsid w:val="00CB6490"/>
    <w:rsid w:val="00CD4BD8"/>
    <w:rsid w:val="00CD6B1B"/>
    <w:rsid w:val="00CE044D"/>
    <w:rsid w:val="00CE156D"/>
    <w:rsid w:val="00CE29B9"/>
    <w:rsid w:val="00CF7719"/>
    <w:rsid w:val="00D13AC4"/>
    <w:rsid w:val="00D165B2"/>
    <w:rsid w:val="00D2159E"/>
    <w:rsid w:val="00D23F1A"/>
    <w:rsid w:val="00D33885"/>
    <w:rsid w:val="00D42C88"/>
    <w:rsid w:val="00D4332E"/>
    <w:rsid w:val="00D4727B"/>
    <w:rsid w:val="00D5744D"/>
    <w:rsid w:val="00D602FE"/>
    <w:rsid w:val="00D72266"/>
    <w:rsid w:val="00D73A4E"/>
    <w:rsid w:val="00D777E6"/>
    <w:rsid w:val="00D804C3"/>
    <w:rsid w:val="00D836B8"/>
    <w:rsid w:val="00D83E93"/>
    <w:rsid w:val="00D9150A"/>
    <w:rsid w:val="00D96E07"/>
    <w:rsid w:val="00DA28BB"/>
    <w:rsid w:val="00DC0B88"/>
    <w:rsid w:val="00DC6E80"/>
    <w:rsid w:val="00DC6F3A"/>
    <w:rsid w:val="00DC72B8"/>
    <w:rsid w:val="00DD67C1"/>
    <w:rsid w:val="00DE1E41"/>
    <w:rsid w:val="00DE6C71"/>
    <w:rsid w:val="00DF27E4"/>
    <w:rsid w:val="00DF5EDC"/>
    <w:rsid w:val="00E07346"/>
    <w:rsid w:val="00E16E04"/>
    <w:rsid w:val="00E36CB0"/>
    <w:rsid w:val="00E44D31"/>
    <w:rsid w:val="00E46135"/>
    <w:rsid w:val="00E50654"/>
    <w:rsid w:val="00E51807"/>
    <w:rsid w:val="00E55741"/>
    <w:rsid w:val="00E55FBF"/>
    <w:rsid w:val="00E5603E"/>
    <w:rsid w:val="00E57247"/>
    <w:rsid w:val="00E64A60"/>
    <w:rsid w:val="00E72929"/>
    <w:rsid w:val="00E736F8"/>
    <w:rsid w:val="00E75207"/>
    <w:rsid w:val="00E759BC"/>
    <w:rsid w:val="00E82D26"/>
    <w:rsid w:val="00E86B0F"/>
    <w:rsid w:val="00E93E8A"/>
    <w:rsid w:val="00EA203A"/>
    <w:rsid w:val="00EA2E07"/>
    <w:rsid w:val="00EA2F83"/>
    <w:rsid w:val="00EB227F"/>
    <w:rsid w:val="00EB4B72"/>
    <w:rsid w:val="00ED48C6"/>
    <w:rsid w:val="00EF4B09"/>
    <w:rsid w:val="00EF4F2C"/>
    <w:rsid w:val="00EF537A"/>
    <w:rsid w:val="00F07D84"/>
    <w:rsid w:val="00F136CA"/>
    <w:rsid w:val="00F21166"/>
    <w:rsid w:val="00F303D5"/>
    <w:rsid w:val="00F314E8"/>
    <w:rsid w:val="00F42CD3"/>
    <w:rsid w:val="00F43E5B"/>
    <w:rsid w:val="00F630FB"/>
    <w:rsid w:val="00F6774D"/>
    <w:rsid w:val="00F75AE9"/>
    <w:rsid w:val="00F84266"/>
    <w:rsid w:val="00F84381"/>
    <w:rsid w:val="00F847E4"/>
    <w:rsid w:val="00F94EC3"/>
    <w:rsid w:val="00F97AEE"/>
    <w:rsid w:val="00F97CB5"/>
    <w:rsid w:val="00FA44E8"/>
    <w:rsid w:val="00FA7ACD"/>
    <w:rsid w:val="00FB2438"/>
    <w:rsid w:val="00FB7830"/>
    <w:rsid w:val="00FC14E9"/>
    <w:rsid w:val="00FC419A"/>
    <w:rsid w:val="00FC7AF9"/>
    <w:rsid w:val="00FD04D6"/>
    <w:rsid w:val="00FD1C81"/>
    <w:rsid w:val="00FD3381"/>
    <w:rsid w:val="00FD3FD0"/>
    <w:rsid w:val="00FE23FF"/>
    <w:rsid w:val="00FE3B39"/>
    <w:rsid w:val="00FE7381"/>
    <w:rsid w:val="00FF4033"/>
    <w:rsid w:val="2DA82846"/>
    <w:rsid w:val="3FC41E29"/>
    <w:rsid w:val="4C7E0384"/>
    <w:rsid w:val="4FF67577"/>
    <w:rsid w:val="56185964"/>
    <w:rsid w:val="5E405BB2"/>
    <w:rsid w:val="6C157962"/>
    <w:rsid w:val="79DE0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76546F"/>
  <w15:docId w15:val="{E8EFA836-0829-4BE6-9A69-3D95EDC7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link w:val="NormalWebChar"/>
    <w:uiPriority w:val="99"/>
    <w:qFormat/>
    <w:pPr>
      <w:spacing w:beforeAutospacing="1" w:afterAutospacing="1"/>
    </w:pPr>
    <w:rPr>
      <w:rFonts w:eastAsia="SimSun" w:cs="Times New Roman"/>
      <w:sz w:val="24"/>
      <w:szCs w:val="24"/>
      <w:lang w:eastAsia="zh-CN"/>
    </w:rPr>
  </w:style>
  <w:style w:type="character" w:customStyle="1" w:styleId="HeaderChar">
    <w:name w:val="Header Char"/>
    <w:basedOn w:val="DefaultParagraphFont"/>
    <w:link w:val="Header"/>
    <w:uiPriority w:val="99"/>
    <w:qFormat/>
    <w:rPr>
      <w:rFonts w:ascii="Calibri" w:eastAsia="Calibri" w:hAnsi="Calibri" w:cs="Arial"/>
      <w:sz w:val="20"/>
      <w:szCs w:val="20"/>
    </w:rPr>
  </w:style>
  <w:style w:type="character" w:customStyle="1" w:styleId="FooterChar">
    <w:name w:val="Footer Char"/>
    <w:basedOn w:val="DefaultParagraphFont"/>
    <w:link w:val="Footer"/>
    <w:uiPriority w:val="99"/>
    <w:qFormat/>
    <w:rPr>
      <w:rFonts w:ascii="Calibri" w:eastAsia="Calibri" w:hAnsi="Calibri" w:cs="Arial"/>
      <w:sz w:val="20"/>
      <w:szCs w:val="20"/>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Arial"/>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character" w:customStyle="1" w:styleId="fontstyle01">
    <w:name w:val="fontstyle01"/>
    <w:rsid w:val="00E55FBF"/>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rsid w:val="000845E1"/>
    <w:rPr>
      <w:rFonts w:eastAsia="SimSun" w:cs="Times New Roman"/>
      <w:sz w:val="24"/>
      <w:szCs w:val="24"/>
      <w:lang w:eastAsia="zh-CN"/>
    </w:rPr>
  </w:style>
  <w:style w:type="table" w:styleId="TableGrid">
    <w:name w:val="Table Grid"/>
    <w:basedOn w:val="TableNormal"/>
    <w:uiPriority w:val="39"/>
    <w:rsid w:val="00591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37871">
      <w:bodyDiv w:val="1"/>
      <w:marLeft w:val="0"/>
      <w:marRight w:val="0"/>
      <w:marTop w:val="0"/>
      <w:marBottom w:val="0"/>
      <w:divBdr>
        <w:top w:val="none" w:sz="0" w:space="0" w:color="auto"/>
        <w:left w:val="none" w:sz="0" w:space="0" w:color="auto"/>
        <w:bottom w:val="none" w:sz="0" w:space="0" w:color="auto"/>
        <w:right w:val="none" w:sz="0" w:space="0" w:color="auto"/>
      </w:divBdr>
    </w:div>
    <w:div w:id="759984309">
      <w:bodyDiv w:val="1"/>
      <w:marLeft w:val="0"/>
      <w:marRight w:val="0"/>
      <w:marTop w:val="0"/>
      <w:marBottom w:val="0"/>
      <w:divBdr>
        <w:top w:val="none" w:sz="0" w:space="0" w:color="auto"/>
        <w:left w:val="none" w:sz="0" w:space="0" w:color="auto"/>
        <w:bottom w:val="none" w:sz="0" w:space="0" w:color="auto"/>
        <w:right w:val="none" w:sz="0" w:space="0" w:color="auto"/>
      </w:divBdr>
    </w:div>
    <w:div w:id="193177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thuvienphapluat.vn/phap-luat/tim-van-ban.aspx?keyword=3817/TTr-UBND&amp;area=2&amp;type=0&amp;match=False&amp;vc=True&amp;org=78&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BFC5-EF4C-46F6-9260-80E1AF0A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HTGLONG</dc:creator>
  <cp:lastModifiedBy>Thạch Sanh</cp:lastModifiedBy>
  <cp:revision>3</cp:revision>
  <cp:lastPrinted>2025-11-27T08:30:00Z</cp:lastPrinted>
  <dcterms:created xsi:type="dcterms:W3CDTF">2026-02-09T08:31:00Z</dcterms:created>
  <dcterms:modified xsi:type="dcterms:W3CDTF">2026-02-09T08:33:00Z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81E955B1C1F64C5ABB76CB4173A92612_13</vt:lpwstr>
  </property>
</Properties>
</file>