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CDEBD" w14:textId="7E49F869" w:rsidR="000F78BB" w:rsidRPr="00B45621" w:rsidRDefault="000F78BB" w:rsidP="00BB343A">
      <w:pPr>
        <w:jc w:val="both"/>
        <w:rPr>
          <w:rFonts w:asciiTheme="majorHAnsi" w:hAnsiTheme="majorHAnsi" w:cstheme="majorHAnsi"/>
          <w:sz w:val="24"/>
          <w:szCs w:val="24"/>
        </w:rPr>
      </w:pPr>
    </w:p>
    <w:p w14:paraId="76CBC8CE" w14:textId="77777777" w:rsidR="000F78BB" w:rsidRPr="00B45621" w:rsidRDefault="000F78BB" w:rsidP="00BB343A">
      <w:pPr>
        <w:jc w:val="both"/>
        <w:rPr>
          <w:rFonts w:asciiTheme="majorHAnsi" w:hAnsiTheme="majorHAnsi" w:cstheme="majorHAnsi"/>
          <w:sz w:val="24"/>
          <w:szCs w:val="24"/>
        </w:rPr>
      </w:pPr>
    </w:p>
    <w:tbl>
      <w:tblPr>
        <w:tblpPr w:leftFromText="180" w:rightFromText="180" w:vertAnchor="text" w:horzAnchor="margin" w:tblpXSpec="center" w:tblpY="-358"/>
        <w:tblW w:w="13892" w:type="dxa"/>
        <w:tblLayout w:type="fixed"/>
        <w:tblLook w:val="0000" w:firstRow="0" w:lastRow="0" w:firstColumn="0" w:lastColumn="0" w:noHBand="0" w:noVBand="0"/>
      </w:tblPr>
      <w:tblGrid>
        <w:gridCol w:w="6946"/>
        <w:gridCol w:w="6946"/>
      </w:tblGrid>
      <w:tr w:rsidR="00B45621" w:rsidRPr="00B45621" w14:paraId="7088E6A6" w14:textId="77777777" w:rsidTr="00A87C1A">
        <w:trPr>
          <w:trHeight w:val="1412"/>
        </w:trPr>
        <w:tc>
          <w:tcPr>
            <w:tcW w:w="6946" w:type="dxa"/>
          </w:tcPr>
          <w:p w14:paraId="0FED6F67" w14:textId="77777777" w:rsidR="00AC0738" w:rsidRPr="00B45621" w:rsidRDefault="00AC0738" w:rsidP="00BB343A">
            <w:pPr>
              <w:rPr>
                <w:rFonts w:asciiTheme="majorHAnsi" w:hAnsiTheme="majorHAnsi" w:cstheme="majorHAnsi"/>
              </w:rPr>
            </w:pPr>
            <w:r w:rsidRPr="00B45621">
              <w:rPr>
                <w:rFonts w:asciiTheme="majorHAnsi" w:hAnsiTheme="majorHAnsi" w:cstheme="majorHAnsi"/>
              </w:rPr>
              <w:t>UBND TỈNH ĐỒNG NAI</w:t>
            </w:r>
          </w:p>
          <w:p w14:paraId="22D77380" w14:textId="77777777" w:rsidR="00AC0738" w:rsidRPr="00B45621" w:rsidRDefault="00AC0738" w:rsidP="00BB343A">
            <w:pPr>
              <w:rPr>
                <w:rFonts w:asciiTheme="majorHAnsi" w:hAnsiTheme="majorHAnsi" w:cstheme="majorHAnsi"/>
                <w:b/>
              </w:rPr>
            </w:pPr>
            <w:r w:rsidRPr="00B45621">
              <w:rPr>
                <w:rFonts w:asciiTheme="majorHAnsi" w:hAnsiTheme="majorHAnsi" w:cstheme="majorHAnsi"/>
                <w:b/>
              </w:rPr>
              <w:t xml:space="preserve">SỞ </w:t>
            </w:r>
            <w:r w:rsidR="007F0AD2" w:rsidRPr="00B45621">
              <w:rPr>
                <w:rFonts w:asciiTheme="majorHAnsi" w:hAnsiTheme="majorHAnsi" w:cstheme="majorHAnsi"/>
                <w:b/>
              </w:rPr>
              <w:t xml:space="preserve">NÔNG NGHIỆP </w:t>
            </w:r>
            <w:r w:rsidRPr="00B45621">
              <w:rPr>
                <w:rFonts w:asciiTheme="majorHAnsi" w:hAnsiTheme="majorHAnsi" w:cstheme="majorHAnsi"/>
                <w:b/>
              </w:rPr>
              <w:t>VÀ MÔI TRƯỜNG</w:t>
            </w:r>
          </w:p>
          <w:p w14:paraId="3E76A801" w14:textId="329B0533" w:rsidR="00AC0738" w:rsidRPr="00B45621" w:rsidRDefault="00196423" w:rsidP="00BB343A">
            <w:pPr>
              <w:rPr>
                <w:rFonts w:asciiTheme="majorHAnsi" w:hAnsiTheme="majorHAnsi" w:cstheme="majorHAnsi"/>
                <w:bCs/>
              </w:rPr>
            </w:pPr>
            <w:r w:rsidRPr="00B45621">
              <w:rPr>
                <w:rFonts w:asciiTheme="majorHAnsi" w:hAnsiTheme="majorHAnsi" w:cstheme="majorHAnsi"/>
                <w:bCs/>
              </w:rPr>
              <w:t>–––––––––––––</w:t>
            </w:r>
          </w:p>
          <w:p w14:paraId="6917F22C" w14:textId="18F1A663" w:rsidR="00AC0738" w:rsidRPr="00B45621" w:rsidRDefault="00AC0738" w:rsidP="00BB343A">
            <w:pPr>
              <w:rPr>
                <w:rFonts w:asciiTheme="majorHAnsi" w:hAnsiTheme="majorHAnsi" w:cstheme="majorHAnsi"/>
                <w:bCs/>
              </w:rPr>
            </w:pPr>
          </w:p>
        </w:tc>
        <w:tc>
          <w:tcPr>
            <w:tcW w:w="6946" w:type="dxa"/>
          </w:tcPr>
          <w:p w14:paraId="56B26A95" w14:textId="77777777" w:rsidR="00AC0738" w:rsidRPr="00B45621" w:rsidRDefault="00AC0738" w:rsidP="00BB343A">
            <w:pPr>
              <w:rPr>
                <w:rFonts w:asciiTheme="majorHAnsi" w:hAnsiTheme="majorHAnsi" w:cstheme="majorHAnsi"/>
                <w:b/>
              </w:rPr>
            </w:pPr>
            <w:r w:rsidRPr="00B45621">
              <w:rPr>
                <w:rFonts w:asciiTheme="majorHAnsi" w:hAnsiTheme="majorHAnsi" w:cstheme="majorHAnsi"/>
                <w:b/>
              </w:rPr>
              <w:t>CỘNG HOÀ XÃ HỘI CHỦ NGHĨA VIỆT NAM</w:t>
            </w:r>
          </w:p>
          <w:p w14:paraId="15AFC5DA" w14:textId="77777777" w:rsidR="00AC0738" w:rsidRPr="00B45621" w:rsidRDefault="00AC0738" w:rsidP="00BB343A">
            <w:pPr>
              <w:rPr>
                <w:rFonts w:asciiTheme="majorHAnsi" w:hAnsiTheme="majorHAnsi" w:cstheme="majorHAnsi"/>
                <w:b/>
              </w:rPr>
            </w:pPr>
            <w:r w:rsidRPr="00B45621">
              <w:rPr>
                <w:rFonts w:asciiTheme="majorHAnsi" w:hAnsiTheme="majorHAnsi" w:cstheme="majorHAnsi"/>
                <w:b/>
              </w:rPr>
              <w:t>Độc lập - Tự do - Hạnh phúc</w:t>
            </w:r>
          </w:p>
          <w:p w14:paraId="1345E901" w14:textId="6E31DE9A" w:rsidR="00AC0738" w:rsidRPr="00B45621" w:rsidRDefault="00196423" w:rsidP="00BB343A">
            <w:pPr>
              <w:rPr>
                <w:rFonts w:asciiTheme="majorHAnsi" w:hAnsiTheme="majorHAnsi" w:cstheme="majorHAnsi"/>
              </w:rPr>
            </w:pPr>
            <w:r w:rsidRPr="00B45621">
              <w:rPr>
                <w:rFonts w:asciiTheme="majorHAnsi" w:hAnsiTheme="majorHAnsi" w:cstheme="majorHAnsi"/>
              </w:rPr>
              <w:t>––––––––––––––––––––––</w:t>
            </w:r>
          </w:p>
          <w:p w14:paraId="1E610677" w14:textId="77777777" w:rsidR="00AC0738" w:rsidRDefault="00211014" w:rsidP="00BB343A">
            <w:pPr>
              <w:pStyle w:val="Heading2"/>
              <w:jc w:val="center"/>
              <w:rPr>
                <w:rFonts w:asciiTheme="majorHAnsi" w:hAnsiTheme="majorHAnsi" w:cstheme="majorHAnsi"/>
                <w:iCs/>
                <w:sz w:val="28"/>
                <w:szCs w:val="28"/>
                <w:lang w:val="en-US"/>
              </w:rPr>
            </w:pPr>
            <w:r w:rsidRPr="00B45621">
              <w:rPr>
                <w:rFonts w:asciiTheme="majorHAnsi" w:hAnsiTheme="majorHAnsi" w:cstheme="majorHAnsi"/>
                <w:sz w:val="28"/>
                <w:szCs w:val="28"/>
              </w:rPr>
              <w:t xml:space="preserve">Đồng Nai, </w:t>
            </w:r>
            <w:r w:rsidRPr="00B45621">
              <w:rPr>
                <w:rFonts w:asciiTheme="majorHAnsi" w:hAnsiTheme="majorHAnsi" w:cstheme="majorHAnsi"/>
                <w:iCs/>
                <w:sz w:val="28"/>
                <w:szCs w:val="28"/>
              </w:rPr>
              <w:t xml:space="preserve">ngày </w:t>
            </w:r>
            <w:r w:rsidR="00293C04" w:rsidRPr="00B45621">
              <w:rPr>
                <w:rFonts w:asciiTheme="majorHAnsi" w:hAnsiTheme="majorHAnsi" w:cstheme="majorHAnsi"/>
                <w:iCs/>
                <w:sz w:val="28"/>
                <w:szCs w:val="28"/>
                <w:lang w:val="en-US"/>
              </w:rPr>
              <w:t xml:space="preserve"> </w:t>
            </w:r>
            <w:r w:rsidR="0065583C" w:rsidRPr="00B45621">
              <w:rPr>
                <w:rFonts w:asciiTheme="majorHAnsi" w:hAnsiTheme="majorHAnsi" w:cstheme="majorHAnsi"/>
                <w:iCs/>
                <w:sz w:val="28"/>
                <w:szCs w:val="28"/>
                <w:lang w:val="en-US"/>
              </w:rPr>
              <w:t xml:space="preserve">   </w:t>
            </w:r>
            <w:r w:rsidRPr="00B45621">
              <w:rPr>
                <w:rFonts w:asciiTheme="majorHAnsi" w:hAnsiTheme="majorHAnsi" w:cstheme="majorHAnsi"/>
                <w:iCs/>
                <w:sz w:val="28"/>
                <w:szCs w:val="28"/>
              </w:rPr>
              <w:t xml:space="preserve"> tháng </w:t>
            </w:r>
            <w:r w:rsidR="00293C04" w:rsidRPr="00B45621">
              <w:rPr>
                <w:rFonts w:asciiTheme="majorHAnsi" w:hAnsiTheme="majorHAnsi" w:cstheme="majorHAnsi"/>
                <w:iCs/>
                <w:sz w:val="28"/>
                <w:szCs w:val="28"/>
                <w:lang w:val="en-US"/>
              </w:rPr>
              <w:t xml:space="preserve"> </w:t>
            </w:r>
            <w:r w:rsidR="0065583C" w:rsidRPr="00B45621">
              <w:rPr>
                <w:rFonts w:asciiTheme="majorHAnsi" w:hAnsiTheme="majorHAnsi" w:cstheme="majorHAnsi"/>
                <w:iCs/>
                <w:sz w:val="28"/>
                <w:szCs w:val="28"/>
                <w:lang w:val="en-US"/>
              </w:rPr>
              <w:t xml:space="preserve">  </w:t>
            </w:r>
            <w:r w:rsidR="00293C04" w:rsidRPr="00B45621">
              <w:rPr>
                <w:rFonts w:asciiTheme="majorHAnsi" w:hAnsiTheme="majorHAnsi" w:cstheme="majorHAnsi"/>
                <w:iCs/>
                <w:sz w:val="28"/>
                <w:szCs w:val="28"/>
                <w:lang w:val="en-US"/>
              </w:rPr>
              <w:t xml:space="preserve"> </w:t>
            </w:r>
            <w:r w:rsidRPr="00B45621">
              <w:rPr>
                <w:rFonts w:asciiTheme="majorHAnsi" w:hAnsiTheme="majorHAnsi" w:cstheme="majorHAnsi"/>
                <w:iCs/>
                <w:sz w:val="28"/>
                <w:szCs w:val="28"/>
              </w:rPr>
              <w:t xml:space="preserve"> năm </w:t>
            </w:r>
            <w:r w:rsidR="00293C04" w:rsidRPr="00B45621">
              <w:rPr>
                <w:rFonts w:asciiTheme="majorHAnsi" w:hAnsiTheme="majorHAnsi" w:cstheme="majorHAnsi"/>
                <w:iCs/>
                <w:sz w:val="28"/>
                <w:szCs w:val="28"/>
                <w:lang w:val="en-US"/>
              </w:rPr>
              <w:t>202</w:t>
            </w:r>
            <w:r w:rsidR="0065583C" w:rsidRPr="00B45621">
              <w:rPr>
                <w:rFonts w:asciiTheme="majorHAnsi" w:hAnsiTheme="majorHAnsi" w:cstheme="majorHAnsi"/>
                <w:iCs/>
                <w:sz w:val="28"/>
                <w:szCs w:val="28"/>
                <w:lang w:val="en-US"/>
              </w:rPr>
              <w:t>6</w:t>
            </w:r>
          </w:p>
          <w:p w14:paraId="7C0896AA" w14:textId="3FF1F298" w:rsidR="00025E70" w:rsidRPr="00025E70" w:rsidRDefault="00025E70" w:rsidP="00025E70">
            <w:pPr>
              <w:rPr>
                <w:lang w:eastAsia="x-none"/>
              </w:rPr>
            </w:pPr>
          </w:p>
        </w:tc>
      </w:tr>
    </w:tbl>
    <w:p w14:paraId="665A24C0" w14:textId="77777777" w:rsidR="00025E70" w:rsidRDefault="00025E70" w:rsidP="00E2764C">
      <w:pPr>
        <w:rPr>
          <w:rFonts w:asciiTheme="majorHAnsi" w:hAnsiTheme="majorHAnsi" w:cstheme="majorHAnsi"/>
          <w:b/>
          <w:bCs/>
          <w:sz w:val="26"/>
          <w:szCs w:val="26"/>
        </w:rPr>
      </w:pPr>
    </w:p>
    <w:p w14:paraId="70556A10" w14:textId="77777777" w:rsidR="00025E70" w:rsidRDefault="00025E70" w:rsidP="00E2764C">
      <w:pPr>
        <w:rPr>
          <w:rFonts w:asciiTheme="majorHAnsi" w:hAnsiTheme="majorHAnsi" w:cstheme="majorHAnsi"/>
          <w:b/>
          <w:bCs/>
          <w:sz w:val="26"/>
          <w:szCs w:val="26"/>
        </w:rPr>
      </w:pPr>
    </w:p>
    <w:p w14:paraId="0E9AAFF8" w14:textId="77777777" w:rsidR="00025E70" w:rsidRDefault="00025E70" w:rsidP="00E2764C">
      <w:pPr>
        <w:rPr>
          <w:rFonts w:asciiTheme="majorHAnsi" w:hAnsiTheme="majorHAnsi" w:cstheme="majorHAnsi"/>
          <w:b/>
          <w:bCs/>
          <w:sz w:val="26"/>
          <w:szCs w:val="26"/>
        </w:rPr>
      </w:pPr>
    </w:p>
    <w:p w14:paraId="27F44E73" w14:textId="17D2D74F" w:rsidR="0065583C" w:rsidRPr="00B45621" w:rsidRDefault="0058394B" w:rsidP="00E2764C">
      <w:pPr>
        <w:rPr>
          <w:rFonts w:asciiTheme="majorHAnsi" w:hAnsiTheme="majorHAnsi" w:cstheme="majorHAnsi"/>
          <w:b/>
          <w:bCs/>
          <w:sz w:val="26"/>
          <w:szCs w:val="26"/>
        </w:rPr>
      </w:pPr>
      <w:r w:rsidRPr="00B45621">
        <w:rPr>
          <w:rFonts w:asciiTheme="majorHAnsi" w:hAnsiTheme="majorHAnsi" w:cstheme="majorHAnsi"/>
          <w:b/>
          <w:bCs/>
          <w:sz w:val="26"/>
          <w:szCs w:val="26"/>
        </w:rPr>
        <w:t xml:space="preserve">BẢNG SO </w:t>
      </w:r>
      <w:r w:rsidR="00A87C1A" w:rsidRPr="00B45621">
        <w:rPr>
          <w:rFonts w:asciiTheme="majorHAnsi" w:hAnsiTheme="majorHAnsi" w:cstheme="majorHAnsi"/>
          <w:b/>
          <w:bCs/>
          <w:sz w:val="26"/>
          <w:szCs w:val="26"/>
        </w:rPr>
        <w:t>SÁNH, THUYẾT MINH DỰ THẢO</w:t>
      </w:r>
      <w:r w:rsidR="0065583C" w:rsidRPr="00B45621">
        <w:rPr>
          <w:rFonts w:asciiTheme="majorHAnsi" w:hAnsiTheme="majorHAnsi" w:cstheme="majorHAnsi"/>
          <w:b/>
          <w:bCs/>
          <w:sz w:val="26"/>
          <w:szCs w:val="26"/>
        </w:rPr>
        <w:t xml:space="preserve"> </w:t>
      </w:r>
      <w:r w:rsidR="00A87C1A" w:rsidRPr="00B45621">
        <w:rPr>
          <w:rFonts w:asciiTheme="majorHAnsi" w:hAnsiTheme="majorHAnsi" w:cstheme="majorHAnsi"/>
          <w:b/>
          <w:bCs/>
          <w:sz w:val="26"/>
          <w:szCs w:val="26"/>
        </w:rPr>
        <w:t>NGHỊ QUYẾT</w:t>
      </w:r>
    </w:p>
    <w:p w14:paraId="1D7A63B2" w14:textId="00E26FB8" w:rsidR="00676497" w:rsidRPr="00E2764C" w:rsidRDefault="0065583C" w:rsidP="00E2764C">
      <w:pPr>
        <w:rPr>
          <w:rFonts w:asciiTheme="majorHAnsi" w:hAnsiTheme="majorHAnsi" w:cstheme="majorHAnsi"/>
          <w:b/>
        </w:rPr>
      </w:pPr>
      <w:r w:rsidRPr="00B45621">
        <w:rPr>
          <w:b/>
        </w:rPr>
        <w:t xml:space="preserve">Quy định </w:t>
      </w:r>
      <w:r w:rsidR="00E2764C" w:rsidRPr="00E2764C">
        <w:rPr>
          <w:b/>
        </w:rPr>
        <w:t xml:space="preserve">phí </w:t>
      </w:r>
      <w:r w:rsidR="00E2764C">
        <w:rPr>
          <w:b/>
        </w:rPr>
        <w:t xml:space="preserve">thẩm định </w:t>
      </w:r>
      <w:r w:rsidR="00E2764C" w:rsidRPr="00E2764C">
        <w:rPr>
          <w:b/>
        </w:rPr>
        <w:t xml:space="preserve">cấp Giấy chứng nhận quyền sử dụng đất lần đầu </w:t>
      </w:r>
      <w:r w:rsidR="00E2764C" w:rsidRPr="00E2764C">
        <w:rPr>
          <w:b/>
          <w:lang w:val="vi-VN"/>
        </w:rPr>
        <w:t xml:space="preserve">trên địa bàn tỉnh </w:t>
      </w:r>
      <w:r w:rsidR="00E2764C" w:rsidRPr="00E2764C">
        <w:rPr>
          <w:b/>
        </w:rPr>
        <w:t>Đ</w:t>
      </w:r>
      <w:r w:rsidR="00E2764C" w:rsidRPr="00E2764C">
        <w:rPr>
          <w:b/>
          <w:lang w:val="vi-VN"/>
        </w:rPr>
        <w:t xml:space="preserve">ồng </w:t>
      </w:r>
      <w:r w:rsidR="00E2764C" w:rsidRPr="00E2764C">
        <w:rPr>
          <w:b/>
        </w:rPr>
        <w:t>N</w:t>
      </w:r>
      <w:r w:rsidR="00E2764C" w:rsidRPr="00E2764C">
        <w:rPr>
          <w:b/>
          <w:lang w:val="vi-VN"/>
        </w:rPr>
        <w:t>ai</w:t>
      </w:r>
    </w:p>
    <w:p w14:paraId="248DEBDF" w14:textId="77777777" w:rsidR="00676497" w:rsidRDefault="00676497" w:rsidP="00676497">
      <w:pPr>
        <w:jc w:val="both"/>
        <w:rPr>
          <w:rFonts w:asciiTheme="majorHAnsi" w:hAnsiTheme="majorHAnsi" w:cstheme="majorHAnsi"/>
          <w:b/>
          <w:lang w:val="fr-FR"/>
        </w:rPr>
      </w:pPr>
    </w:p>
    <w:p w14:paraId="7891DA18" w14:textId="77777777" w:rsidR="00025E70" w:rsidRPr="00B45621" w:rsidRDefault="00025E70" w:rsidP="00BB343A">
      <w:pPr>
        <w:tabs>
          <w:tab w:val="left" w:pos="5415"/>
        </w:tabs>
        <w:jc w:val="left"/>
        <w:rPr>
          <w:rFonts w:asciiTheme="majorHAnsi" w:hAnsiTheme="majorHAnsi" w:cstheme="majorHAnsi"/>
          <w:b/>
          <w:sz w:val="24"/>
          <w:szCs w:val="24"/>
          <w:lang w:val="fr-FR"/>
        </w:rPr>
      </w:pPr>
    </w:p>
    <w:tbl>
      <w:tblPr>
        <w:tblW w:w="4966"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
        <w:gridCol w:w="2126"/>
        <w:gridCol w:w="5104"/>
        <w:gridCol w:w="4468"/>
        <w:gridCol w:w="3183"/>
      </w:tblGrid>
      <w:tr w:rsidR="00B45621" w:rsidRPr="00B45621" w14:paraId="52989C32" w14:textId="77777777" w:rsidTr="00897582">
        <w:trPr>
          <w:trHeight w:val="525"/>
          <w:tblHeader/>
        </w:trPr>
        <w:tc>
          <w:tcPr>
            <w:tcW w:w="227" w:type="pct"/>
            <w:shd w:val="clear" w:color="auto" w:fill="FFFFFF"/>
            <w:vAlign w:val="center"/>
          </w:tcPr>
          <w:p w14:paraId="114D5384" w14:textId="115ABC66" w:rsidR="00C7756B" w:rsidRPr="00B45621" w:rsidRDefault="00C7756B" w:rsidP="00FF7E8A">
            <w:pPr>
              <w:spacing w:before="60" w:after="60"/>
              <w:ind w:left="-2" w:firstLine="2"/>
              <w:rPr>
                <w:rFonts w:asciiTheme="majorHAnsi" w:hAnsiTheme="majorHAnsi" w:cstheme="majorHAnsi"/>
                <w:b/>
                <w:sz w:val="24"/>
                <w:szCs w:val="24"/>
              </w:rPr>
            </w:pPr>
            <w:r w:rsidRPr="00B45621">
              <w:rPr>
                <w:rFonts w:asciiTheme="majorHAnsi" w:hAnsiTheme="majorHAnsi" w:cstheme="majorHAnsi"/>
                <w:b/>
                <w:sz w:val="24"/>
                <w:szCs w:val="24"/>
              </w:rPr>
              <w:t>STT</w:t>
            </w:r>
          </w:p>
        </w:tc>
        <w:tc>
          <w:tcPr>
            <w:tcW w:w="682" w:type="pct"/>
            <w:shd w:val="clear" w:color="auto" w:fill="FFFFFF"/>
            <w:vAlign w:val="center"/>
          </w:tcPr>
          <w:p w14:paraId="1A37F3AB" w14:textId="341E8126" w:rsidR="00C7756B" w:rsidRPr="00B45621" w:rsidRDefault="00C7756B" w:rsidP="00FF7E8A">
            <w:pPr>
              <w:spacing w:before="60" w:after="60"/>
              <w:ind w:left="-2" w:firstLine="2"/>
              <w:rPr>
                <w:rFonts w:asciiTheme="majorHAnsi" w:hAnsiTheme="majorHAnsi" w:cstheme="majorHAnsi"/>
                <w:b/>
                <w:sz w:val="24"/>
                <w:szCs w:val="24"/>
              </w:rPr>
            </w:pPr>
            <w:r w:rsidRPr="00B45621">
              <w:rPr>
                <w:rFonts w:asciiTheme="majorHAnsi" w:hAnsiTheme="majorHAnsi" w:cstheme="majorHAnsi"/>
                <w:b/>
                <w:sz w:val="24"/>
                <w:szCs w:val="24"/>
              </w:rPr>
              <w:t>Nội dung so sánh</w:t>
            </w:r>
          </w:p>
        </w:tc>
        <w:tc>
          <w:tcPr>
            <w:tcW w:w="1637" w:type="pct"/>
            <w:shd w:val="clear" w:color="auto" w:fill="FFFFFF"/>
            <w:vAlign w:val="center"/>
          </w:tcPr>
          <w:p w14:paraId="454C4C0C" w14:textId="77777777" w:rsidR="00C7756B" w:rsidRPr="00B45621" w:rsidRDefault="00C7756B" w:rsidP="00357378">
            <w:pPr>
              <w:spacing w:before="60" w:after="60"/>
              <w:ind w:right="141"/>
              <w:rPr>
                <w:rFonts w:asciiTheme="majorHAnsi" w:hAnsiTheme="majorHAnsi" w:cstheme="majorHAnsi"/>
                <w:b/>
                <w:sz w:val="22"/>
                <w:szCs w:val="22"/>
              </w:rPr>
            </w:pPr>
            <w:bookmarkStart w:id="0" w:name="_Hlk213166859"/>
            <w:r w:rsidRPr="00B45621">
              <w:rPr>
                <w:rFonts w:asciiTheme="majorHAnsi" w:hAnsiTheme="majorHAnsi" w:cstheme="majorHAnsi"/>
                <w:b/>
                <w:sz w:val="22"/>
                <w:szCs w:val="22"/>
              </w:rPr>
              <w:t>QUY PHẠM PHÁP LUẬT HIỆN HÀNH</w:t>
            </w:r>
          </w:p>
          <w:p w14:paraId="10817F6D" w14:textId="1A9865A5" w:rsidR="00C7756B" w:rsidRPr="00B45621" w:rsidRDefault="00C7756B" w:rsidP="00357378">
            <w:pPr>
              <w:spacing w:before="60" w:after="60"/>
              <w:ind w:right="141"/>
              <w:rPr>
                <w:rFonts w:asciiTheme="majorHAnsi" w:hAnsiTheme="majorHAnsi" w:cstheme="majorHAnsi"/>
                <w:b/>
                <w:sz w:val="24"/>
                <w:szCs w:val="24"/>
              </w:rPr>
            </w:pPr>
            <w:r w:rsidRPr="00B45621">
              <w:rPr>
                <w:rFonts w:asciiTheme="majorHAnsi" w:hAnsiTheme="majorHAnsi" w:cstheme="majorHAnsi"/>
                <w:b/>
                <w:sz w:val="24"/>
                <w:szCs w:val="24"/>
              </w:rPr>
              <w:t>(Nghị quyết cũ)</w:t>
            </w:r>
          </w:p>
        </w:tc>
        <w:tc>
          <w:tcPr>
            <w:tcW w:w="1433" w:type="pct"/>
            <w:shd w:val="clear" w:color="auto" w:fill="FFFFFF"/>
            <w:vAlign w:val="center"/>
          </w:tcPr>
          <w:p w14:paraId="467A70C4" w14:textId="77777777" w:rsidR="00C7756B" w:rsidRPr="00B45621" w:rsidRDefault="00C7756B" w:rsidP="00357378">
            <w:pPr>
              <w:spacing w:before="60" w:after="60"/>
              <w:ind w:right="142"/>
              <w:rPr>
                <w:rFonts w:asciiTheme="majorHAnsi" w:hAnsiTheme="majorHAnsi" w:cstheme="majorHAnsi"/>
                <w:b/>
                <w:sz w:val="22"/>
                <w:szCs w:val="22"/>
              </w:rPr>
            </w:pPr>
            <w:r w:rsidRPr="00B45621">
              <w:rPr>
                <w:rFonts w:asciiTheme="majorHAnsi" w:hAnsiTheme="majorHAnsi" w:cstheme="majorHAnsi"/>
                <w:b/>
                <w:sz w:val="22"/>
                <w:szCs w:val="22"/>
              </w:rPr>
              <w:t>DỰ THẢO VĂN BẢN</w:t>
            </w:r>
          </w:p>
          <w:p w14:paraId="530225A1" w14:textId="51D28C94" w:rsidR="00C7756B" w:rsidRPr="00B45621" w:rsidRDefault="00C7756B" w:rsidP="00357378">
            <w:pPr>
              <w:spacing w:before="60" w:after="60"/>
              <w:ind w:right="142"/>
              <w:rPr>
                <w:rFonts w:asciiTheme="majorHAnsi" w:hAnsiTheme="majorHAnsi" w:cstheme="majorHAnsi"/>
                <w:b/>
                <w:sz w:val="24"/>
                <w:szCs w:val="24"/>
              </w:rPr>
            </w:pPr>
            <w:r w:rsidRPr="00B45621">
              <w:rPr>
                <w:rFonts w:asciiTheme="majorHAnsi" w:hAnsiTheme="majorHAnsi" w:cstheme="majorHAnsi"/>
                <w:b/>
                <w:sz w:val="24"/>
                <w:szCs w:val="24"/>
              </w:rPr>
              <w:t>(Dự thảo Nghị quyết mới)</w:t>
            </w:r>
          </w:p>
        </w:tc>
        <w:tc>
          <w:tcPr>
            <w:tcW w:w="1021" w:type="pct"/>
            <w:shd w:val="clear" w:color="auto" w:fill="FFFFFF"/>
            <w:vAlign w:val="center"/>
          </w:tcPr>
          <w:p w14:paraId="146A71B3" w14:textId="77777777" w:rsidR="00C7756B" w:rsidRPr="00B45621" w:rsidRDefault="00C7756B" w:rsidP="00357378">
            <w:pPr>
              <w:spacing w:before="60" w:after="60"/>
              <w:ind w:right="138"/>
              <w:rPr>
                <w:rFonts w:asciiTheme="majorHAnsi" w:hAnsiTheme="majorHAnsi" w:cstheme="majorHAnsi"/>
                <w:b/>
                <w:sz w:val="22"/>
                <w:szCs w:val="22"/>
              </w:rPr>
            </w:pPr>
            <w:r w:rsidRPr="00B45621">
              <w:rPr>
                <w:rFonts w:asciiTheme="majorHAnsi" w:hAnsiTheme="majorHAnsi" w:cstheme="majorHAnsi"/>
                <w:b/>
                <w:sz w:val="22"/>
                <w:szCs w:val="22"/>
              </w:rPr>
              <w:t>THUYẾT MINH</w:t>
            </w:r>
          </w:p>
        </w:tc>
      </w:tr>
      <w:tr w:rsidR="00B45621" w:rsidRPr="00B45621" w14:paraId="638A4661" w14:textId="77777777" w:rsidTr="00897582">
        <w:tc>
          <w:tcPr>
            <w:tcW w:w="2546" w:type="pct"/>
            <w:gridSpan w:val="3"/>
            <w:shd w:val="clear" w:color="auto" w:fill="FFFFFF"/>
          </w:tcPr>
          <w:p w14:paraId="4ABAE71F" w14:textId="5E89B815" w:rsidR="00C7756B" w:rsidRPr="00B45621" w:rsidRDefault="00C7756B" w:rsidP="00357378">
            <w:pPr>
              <w:spacing w:before="60" w:after="60"/>
              <w:ind w:right="141"/>
              <w:jc w:val="both"/>
              <w:rPr>
                <w:rFonts w:asciiTheme="majorHAnsi" w:hAnsiTheme="majorHAnsi" w:cstheme="majorHAnsi"/>
                <w:b/>
                <w:sz w:val="22"/>
                <w:szCs w:val="22"/>
              </w:rPr>
            </w:pPr>
            <w:r w:rsidRPr="00B45621">
              <w:rPr>
                <w:rFonts w:asciiTheme="majorHAnsi" w:hAnsiTheme="majorHAnsi" w:cstheme="majorHAnsi"/>
                <w:bCs/>
                <w:sz w:val="22"/>
                <w:szCs w:val="22"/>
              </w:rPr>
              <w:t xml:space="preserve"> </w:t>
            </w:r>
            <w:r w:rsidRPr="00B45621">
              <w:rPr>
                <w:rFonts w:asciiTheme="majorHAnsi" w:hAnsiTheme="majorHAnsi" w:cstheme="majorHAnsi"/>
                <w:b/>
                <w:sz w:val="22"/>
                <w:szCs w:val="22"/>
              </w:rPr>
              <w:t xml:space="preserve">I. Nghị quyết tỉnh Đồng Nai cũ </w:t>
            </w:r>
          </w:p>
          <w:p w14:paraId="75D14291" w14:textId="35D5EFC8" w:rsidR="00C7756B" w:rsidRPr="00B45621" w:rsidRDefault="00C7756B" w:rsidP="00357378">
            <w:pPr>
              <w:spacing w:before="60" w:after="60"/>
              <w:ind w:right="141"/>
              <w:jc w:val="both"/>
              <w:rPr>
                <w:rFonts w:asciiTheme="majorHAnsi" w:hAnsiTheme="majorHAnsi" w:cstheme="majorHAnsi"/>
                <w:bCs/>
                <w:i/>
                <w:iCs/>
                <w:sz w:val="22"/>
                <w:szCs w:val="22"/>
              </w:rPr>
            </w:pPr>
            <w:r w:rsidRPr="001B2E72">
              <w:rPr>
                <w:rFonts w:asciiTheme="majorHAnsi" w:hAnsiTheme="majorHAnsi" w:cstheme="majorHAnsi"/>
                <w:bCs/>
                <w:i/>
                <w:iCs/>
                <w:sz w:val="22"/>
                <w:szCs w:val="22"/>
              </w:rPr>
              <w:t>(Nghị quyết số 2</w:t>
            </w:r>
            <w:r w:rsidR="00E2764C">
              <w:rPr>
                <w:rFonts w:asciiTheme="majorHAnsi" w:hAnsiTheme="majorHAnsi" w:cstheme="majorHAnsi"/>
                <w:bCs/>
                <w:i/>
                <w:iCs/>
                <w:sz w:val="22"/>
                <w:szCs w:val="22"/>
              </w:rPr>
              <w:t>2</w:t>
            </w:r>
            <w:r w:rsidRPr="001B2E72">
              <w:rPr>
                <w:rFonts w:asciiTheme="majorHAnsi" w:hAnsiTheme="majorHAnsi" w:cstheme="majorHAnsi"/>
                <w:bCs/>
                <w:i/>
                <w:iCs/>
                <w:sz w:val="22"/>
                <w:szCs w:val="22"/>
              </w:rPr>
              <w:t>/2024/NQ-HĐND ngày 29/11/2024)</w:t>
            </w:r>
          </w:p>
        </w:tc>
        <w:tc>
          <w:tcPr>
            <w:tcW w:w="1433" w:type="pct"/>
            <w:shd w:val="clear" w:color="auto" w:fill="FFFFFF"/>
            <w:vAlign w:val="center"/>
          </w:tcPr>
          <w:p w14:paraId="77F3A73D" w14:textId="36DF5212" w:rsidR="00C7756B" w:rsidRPr="00B45621" w:rsidRDefault="00C7756B" w:rsidP="00357378">
            <w:pPr>
              <w:spacing w:before="60" w:after="60"/>
              <w:ind w:left="139" w:right="142"/>
              <w:jc w:val="both"/>
              <w:rPr>
                <w:rFonts w:asciiTheme="majorHAnsi" w:hAnsiTheme="majorHAnsi" w:cstheme="majorHAnsi"/>
                <w:bCs/>
                <w:sz w:val="22"/>
                <w:szCs w:val="22"/>
              </w:rPr>
            </w:pPr>
          </w:p>
        </w:tc>
        <w:tc>
          <w:tcPr>
            <w:tcW w:w="1021" w:type="pct"/>
            <w:shd w:val="clear" w:color="auto" w:fill="FFFFFF"/>
            <w:vAlign w:val="center"/>
          </w:tcPr>
          <w:p w14:paraId="5963C505" w14:textId="2A19B271" w:rsidR="00C7756B" w:rsidRPr="00B45621" w:rsidRDefault="00C7756B" w:rsidP="00357378">
            <w:pPr>
              <w:spacing w:before="60" w:after="60"/>
              <w:ind w:left="146" w:right="138"/>
              <w:jc w:val="both"/>
              <w:rPr>
                <w:rFonts w:asciiTheme="majorHAnsi" w:hAnsiTheme="majorHAnsi" w:cstheme="majorHAnsi"/>
                <w:sz w:val="22"/>
                <w:szCs w:val="22"/>
              </w:rPr>
            </w:pPr>
          </w:p>
        </w:tc>
      </w:tr>
      <w:tr w:rsidR="00B45621" w:rsidRPr="00B45621" w14:paraId="31F39094" w14:textId="77777777" w:rsidTr="00897582">
        <w:tc>
          <w:tcPr>
            <w:tcW w:w="227" w:type="pct"/>
            <w:shd w:val="clear" w:color="auto" w:fill="FFFFFF"/>
            <w:vAlign w:val="center"/>
          </w:tcPr>
          <w:p w14:paraId="7793E258" w14:textId="077DCC5C" w:rsidR="00C7756B" w:rsidRPr="00B45621" w:rsidRDefault="00C7756B" w:rsidP="00554762">
            <w:pPr>
              <w:spacing w:before="60" w:after="60"/>
              <w:ind w:left="140" w:right="132"/>
              <w:rPr>
                <w:rFonts w:asciiTheme="majorHAnsi" w:hAnsiTheme="majorHAnsi" w:cstheme="majorHAnsi"/>
                <w:bCs/>
                <w:sz w:val="22"/>
                <w:szCs w:val="22"/>
              </w:rPr>
            </w:pPr>
            <w:r w:rsidRPr="00B45621">
              <w:rPr>
                <w:rFonts w:asciiTheme="majorHAnsi" w:hAnsiTheme="majorHAnsi" w:cstheme="majorHAnsi"/>
                <w:bCs/>
                <w:sz w:val="22"/>
                <w:szCs w:val="22"/>
              </w:rPr>
              <w:t>1</w:t>
            </w:r>
          </w:p>
        </w:tc>
        <w:tc>
          <w:tcPr>
            <w:tcW w:w="682" w:type="pct"/>
            <w:shd w:val="clear" w:color="auto" w:fill="FFFFFF"/>
            <w:vAlign w:val="center"/>
          </w:tcPr>
          <w:p w14:paraId="141F95E6" w14:textId="4DF346B1" w:rsidR="00C7756B" w:rsidRPr="00B45621" w:rsidRDefault="00C7756B" w:rsidP="00554762">
            <w:pPr>
              <w:spacing w:before="60" w:after="60"/>
              <w:ind w:left="140" w:right="132"/>
              <w:jc w:val="left"/>
              <w:rPr>
                <w:rFonts w:asciiTheme="majorHAnsi" w:hAnsiTheme="majorHAnsi" w:cstheme="majorHAnsi"/>
                <w:b/>
                <w:sz w:val="22"/>
                <w:szCs w:val="22"/>
              </w:rPr>
            </w:pPr>
            <w:r w:rsidRPr="00B45621">
              <w:rPr>
                <w:rFonts w:asciiTheme="majorHAnsi" w:hAnsiTheme="majorHAnsi" w:cstheme="majorHAnsi"/>
                <w:b/>
                <w:sz w:val="22"/>
                <w:szCs w:val="22"/>
              </w:rPr>
              <w:t>Phạm v</w:t>
            </w:r>
            <w:r w:rsidR="00E603A3" w:rsidRPr="00B45621">
              <w:rPr>
                <w:rFonts w:asciiTheme="majorHAnsi" w:hAnsiTheme="majorHAnsi" w:cstheme="majorHAnsi"/>
                <w:b/>
                <w:sz w:val="22"/>
                <w:szCs w:val="22"/>
              </w:rPr>
              <w:t>i</w:t>
            </w:r>
            <w:r w:rsidRPr="00B45621">
              <w:rPr>
                <w:rFonts w:asciiTheme="majorHAnsi" w:hAnsiTheme="majorHAnsi" w:cstheme="majorHAnsi"/>
                <w:b/>
                <w:sz w:val="22"/>
                <w:szCs w:val="22"/>
              </w:rPr>
              <w:t xml:space="preserve"> đ</w:t>
            </w:r>
            <w:r w:rsidR="00BA1039" w:rsidRPr="00B45621">
              <w:rPr>
                <w:rFonts w:asciiTheme="majorHAnsi" w:hAnsiTheme="majorHAnsi" w:cstheme="majorHAnsi"/>
                <w:b/>
                <w:sz w:val="22"/>
                <w:szCs w:val="22"/>
              </w:rPr>
              <w:t>iều chỉnh</w:t>
            </w:r>
          </w:p>
        </w:tc>
        <w:tc>
          <w:tcPr>
            <w:tcW w:w="1637" w:type="pct"/>
            <w:shd w:val="clear" w:color="auto" w:fill="FFFFFF"/>
            <w:vAlign w:val="center"/>
          </w:tcPr>
          <w:p w14:paraId="4C864154" w14:textId="3D0269BA" w:rsidR="0072787B" w:rsidRPr="00676497" w:rsidRDefault="0072787B" w:rsidP="00357378">
            <w:pPr>
              <w:ind w:left="79" w:right="141"/>
              <w:jc w:val="both"/>
              <w:rPr>
                <w:sz w:val="22"/>
                <w:szCs w:val="22"/>
              </w:rPr>
            </w:pPr>
            <w:r w:rsidRPr="00B45621">
              <w:rPr>
                <w:sz w:val="22"/>
                <w:szCs w:val="22"/>
              </w:rPr>
              <w:t xml:space="preserve">Nghị quyết này quy định mức thu, chế độ thu, nộp, quản lý và </w:t>
            </w:r>
            <w:r w:rsidRPr="00676497">
              <w:rPr>
                <w:sz w:val="22"/>
                <w:szCs w:val="22"/>
              </w:rPr>
              <w:t xml:space="preserve">sử dụng </w:t>
            </w:r>
            <w:r w:rsidR="00897582" w:rsidRPr="00897582">
              <w:rPr>
                <w:bCs/>
                <w:sz w:val="22"/>
                <w:szCs w:val="22"/>
                <w:lang w:val="pt-BR"/>
              </w:rPr>
              <w:t xml:space="preserve">quy </w:t>
            </w:r>
            <w:r w:rsidR="00897582" w:rsidRPr="00897582">
              <w:rPr>
                <w:bCs/>
                <w:sz w:val="22"/>
                <w:szCs w:val="22"/>
              </w:rPr>
              <w:t xml:space="preserve">phí thẩm định hồ sơ cấp Giấy chứng nhận quyền sử dụng đất </w:t>
            </w:r>
            <w:r w:rsidR="00897582" w:rsidRPr="00897582">
              <w:rPr>
                <w:bCs/>
                <w:sz w:val="22"/>
                <w:szCs w:val="22"/>
                <w:lang w:val="vi-VN"/>
              </w:rPr>
              <w:t xml:space="preserve">trên địa bàn tỉnh </w:t>
            </w:r>
            <w:r w:rsidR="00897582" w:rsidRPr="00897582">
              <w:rPr>
                <w:bCs/>
                <w:sz w:val="22"/>
                <w:szCs w:val="22"/>
              </w:rPr>
              <w:t>Đ</w:t>
            </w:r>
            <w:r w:rsidR="00897582" w:rsidRPr="00897582">
              <w:rPr>
                <w:bCs/>
                <w:sz w:val="22"/>
                <w:szCs w:val="22"/>
                <w:lang w:val="vi-VN"/>
              </w:rPr>
              <w:t xml:space="preserve">ồng </w:t>
            </w:r>
            <w:r w:rsidR="00897582" w:rsidRPr="00897582">
              <w:rPr>
                <w:bCs/>
                <w:sz w:val="22"/>
                <w:szCs w:val="22"/>
              </w:rPr>
              <w:t>N</w:t>
            </w:r>
            <w:r w:rsidR="00897582" w:rsidRPr="00897582">
              <w:rPr>
                <w:bCs/>
                <w:sz w:val="22"/>
                <w:szCs w:val="22"/>
                <w:lang w:val="vi-VN"/>
              </w:rPr>
              <w:t>ai</w:t>
            </w:r>
          </w:p>
          <w:p w14:paraId="43ACFE89" w14:textId="629FF3FC" w:rsidR="00C7756B" w:rsidRPr="00B45621" w:rsidRDefault="00C7756B" w:rsidP="00357378">
            <w:pPr>
              <w:ind w:left="79" w:right="141"/>
              <w:jc w:val="both"/>
              <w:rPr>
                <w:rFonts w:asciiTheme="majorHAnsi" w:hAnsiTheme="majorHAnsi" w:cstheme="majorHAnsi"/>
                <w:sz w:val="22"/>
                <w:szCs w:val="22"/>
              </w:rPr>
            </w:pPr>
          </w:p>
        </w:tc>
        <w:tc>
          <w:tcPr>
            <w:tcW w:w="1433" w:type="pct"/>
            <w:shd w:val="clear" w:color="auto" w:fill="FFFFFF"/>
            <w:vAlign w:val="center"/>
          </w:tcPr>
          <w:p w14:paraId="5C67D86B" w14:textId="77777777" w:rsidR="00897582" w:rsidRDefault="00897582" w:rsidP="00897582">
            <w:pPr>
              <w:spacing w:before="120" w:after="120"/>
              <w:jc w:val="both"/>
              <w:rPr>
                <w:spacing w:val="3"/>
                <w:sz w:val="22"/>
                <w:szCs w:val="22"/>
                <w:shd w:val="clear" w:color="auto" w:fill="FFFFFF"/>
              </w:rPr>
            </w:pPr>
            <w:bookmarkStart w:id="1" w:name="_Hlk212904038"/>
          </w:p>
          <w:p w14:paraId="67B67E7A" w14:textId="20D8F991" w:rsidR="00897582" w:rsidRPr="00897582" w:rsidRDefault="00897582" w:rsidP="00897582">
            <w:pPr>
              <w:spacing w:before="120" w:after="120"/>
              <w:jc w:val="both"/>
              <w:rPr>
                <w:sz w:val="22"/>
                <w:szCs w:val="22"/>
                <w:lang w:eastAsia="zh-CN" w:bidi="ar"/>
              </w:rPr>
            </w:pPr>
            <w:r w:rsidRPr="00897582">
              <w:rPr>
                <w:spacing w:val="3"/>
                <w:sz w:val="22"/>
                <w:szCs w:val="22"/>
                <w:shd w:val="clear" w:color="auto" w:fill="FFFFFF"/>
              </w:rPr>
              <w:t xml:space="preserve">Nghị quyết này quy định mức thu, chế độ thu, nộp và quản lý </w:t>
            </w:r>
            <w:bookmarkEnd w:id="1"/>
            <w:r w:rsidRPr="00897582">
              <w:rPr>
                <w:iCs/>
                <w:sz w:val="22"/>
                <w:szCs w:val="22"/>
              </w:rPr>
              <w:t xml:space="preserve">phí thẩm định hồ sơ cấp giấy chứng nhận quyền sử dụng đất lần đầu </w:t>
            </w:r>
            <w:r w:rsidRPr="00897582">
              <w:rPr>
                <w:iCs/>
                <w:sz w:val="22"/>
                <w:szCs w:val="22"/>
                <w:lang w:val="vi-VN"/>
              </w:rPr>
              <w:t xml:space="preserve">trên địa bàn tỉnh </w:t>
            </w:r>
            <w:r w:rsidRPr="00897582">
              <w:rPr>
                <w:iCs/>
                <w:sz w:val="22"/>
                <w:szCs w:val="22"/>
              </w:rPr>
              <w:t>Đ</w:t>
            </w:r>
            <w:r w:rsidRPr="00897582">
              <w:rPr>
                <w:iCs/>
                <w:sz w:val="22"/>
                <w:szCs w:val="22"/>
                <w:lang w:val="vi-VN"/>
              </w:rPr>
              <w:t xml:space="preserve">ồng </w:t>
            </w:r>
            <w:r w:rsidRPr="00897582">
              <w:rPr>
                <w:iCs/>
                <w:sz w:val="22"/>
                <w:szCs w:val="22"/>
              </w:rPr>
              <w:t>N</w:t>
            </w:r>
            <w:r w:rsidRPr="00897582">
              <w:rPr>
                <w:iCs/>
                <w:sz w:val="22"/>
                <w:szCs w:val="22"/>
                <w:lang w:val="vi-VN"/>
              </w:rPr>
              <w:t>ai</w:t>
            </w:r>
            <w:r w:rsidRPr="00897582">
              <w:rPr>
                <w:sz w:val="22"/>
                <w:szCs w:val="22"/>
                <w:lang w:eastAsia="zh-CN" w:bidi="ar"/>
              </w:rPr>
              <w:t>.</w:t>
            </w:r>
          </w:p>
          <w:p w14:paraId="078735EF" w14:textId="77777777" w:rsidR="00EE7A40" w:rsidRPr="00B45621" w:rsidRDefault="00EE7A40" w:rsidP="00357378">
            <w:pPr>
              <w:spacing w:before="60" w:after="60"/>
              <w:ind w:left="77" w:right="142"/>
              <w:jc w:val="both"/>
              <w:rPr>
                <w:rFonts w:asciiTheme="majorHAnsi" w:hAnsiTheme="majorHAnsi" w:cstheme="majorHAnsi"/>
                <w:sz w:val="22"/>
                <w:szCs w:val="22"/>
              </w:rPr>
            </w:pPr>
          </w:p>
          <w:p w14:paraId="5EAD9579" w14:textId="0E0636F0" w:rsidR="00EE7A40" w:rsidRPr="00B45621" w:rsidRDefault="00EE7A40" w:rsidP="00357378">
            <w:pPr>
              <w:spacing w:before="60" w:after="60"/>
              <w:ind w:left="77" w:right="142"/>
              <w:jc w:val="both"/>
              <w:rPr>
                <w:rFonts w:asciiTheme="majorHAnsi" w:hAnsiTheme="majorHAnsi" w:cstheme="majorHAnsi"/>
                <w:sz w:val="22"/>
                <w:szCs w:val="22"/>
              </w:rPr>
            </w:pPr>
          </w:p>
        </w:tc>
        <w:tc>
          <w:tcPr>
            <w:tcW w:w="1021" w:type="pct"/>
            <w:shd w:val="clear" w:color="auto" w:fill="FFFFFF"/>
            <w:vAlign w:val="center"/>
          </w:tcPr>
          <w:p w14:paraId="3BBF38D1" w14:textId="15AAFEA7" w:rsidR="00C7756B" w:rsidRPr="00676497" w:rsidRDefault="00C7756B" w:rsidP="00357378">
            <w:pPr>
              <w:spacing w:before="60" w:after="60"/>
              <w:ind w:left="146" w:right="138"/>
              <w:jc w:val="both"/>
              <w:rPr>
                <w:rFonts w:asciiTheme="majorHAnsi" w:hAnsiTheme="majorHAnsi" w:cstheme="majorHAnsi"/>
                <w:sz w:val="22"/>
                <w:szCs w:val="22"/>
                <w:highlight w:val="yellow"/>
              </w:rPr>
            </w:pPr>
            <w:r w:rsidRPr="009109EC">
              <w:rPr>
                <w:rFonts w:asciiTheme="majorHAnsi" w:hAnsiTheme="majorHAnsi" w:cstheme="majorHAnsi"/>
                <w:bCs/>
                <w:sz w:val="22"/>
                <w:szCs w:val="22"/>
              </w:rPr>
              <w:t>Rà soát phù hợp quy định Luật đất đai năm 2024</w:t>
            </w:r>
          </w:p>
        </w:tc>
      </w:tr>
      <w:tr w:rsidR="00676497" w:rsidRPr="00B45621" w14:paraId="0C90435A" w14:textId="77777777" w:rsidTr="00897582">
        <w:tc>
          <w:tcPr>
            <w:tcW w:w="227" w:type="pct"/>
            <w:shd w:val="clear" w:color="auto" w:fill="FFFFFF"/>
            <w:vAlign w:val="center"/>
          </w:tcPr>
          <w:p w14:paraId="13C58B52" w14:textId="28119A62" w:rsidR="00676497" w:rsidRPr="00B45621" w:rsidRDefault="00676497" w:rsidP="00676497">
            <w:pPr>
              <w:pStyle w:val="NormalWeb"/>
              <w:shd w:val="clear" w:color="auto" w:fill="FFFFFF"/>
              <w:spacing w:before="60" w:beforeAutospacing="0" w:after="60" w:afterAutospacing="0"/>
              <w:jc w:val="center"/>
              <w:rPr>
                <w:rFonts w:asciiTheme="majorHAnsi" w:hAnsiTheme="majorHAnsi" w:cstheme="majorHAnsi"/>
                <w:sz w:val="22"/>
                <w:szCs w:val="22"/>
              </w:rPr>
            </w:pPr>
            <w:r w:rsidRPr="00B45621">
              <w:rPr>
                <w:rFonts w:asciiTheme="majorHAnsi" w:hAnsiTheme="majorHAnsi" w:cstheme="majorHAnsi"/>
                <w:sz w:val="22"/>
                <w:szCs w:val="22"/>
              </w:rPr>
              <w:t>2</w:t>
            </w:r>
          </w:p>
        </w:tc>
        <w:tc>
          <w:tcPr>
            <w:tcW w:w="682" w:type="pct"/>
            <w:shd w:val="clear" w:color="auto" w:fill="FFFFFF"/>
            <w:vAlign w:val="center"/>
          </w:tcPr>
          <w:p w14:paraId="1C7E870F" w14:textId="7E2A8435" w:rsidR="00676497" w:rsidRPr="00B45621" w:rsidRDefault="00676497" w:rsidP="00676497">
            <w:pPr>
              <w:ind w:right="198" w:firstLine="146"/>
              <w:jc w:val="both"/>
              <w:rPr>
                <w:b/>
                <w:bCs/>
                <w:sz w:val="22"/>
                <w:szCs w:val="22"/>
                <w:lang w:val="nl-NL"/>
              </w:rPr>
            </w:pPr>
            <w:r w:rsidRPr="00B45621">
              <w:rPr>
                <w:b/>
                <w:bCs/>
                <w:sz w:val="22"/>
                <w:szCs w:val="22"/>
                <w:lang w:val="nl-NL"/>
              </w:rPr>
              <w:t>Đối tượng áp dụng</w:t>
            </w:r>
          </w:p>
        </w:tc>
        <w:tc>
          <w:tcPr>
            <w:tcW w:w="1637" w:type="pct"/>
            <w:shd w:val="clear" w:color="auto" w:fill="FFFFFF"/>
            <w:vAlign w:val="center"/>
          </w:tcPr>
          <w:p w14:paraId="3D0FFBC1" w14:textId="3163393A" w:rsidR="00676497" w:rsidRPr="00897582" w:rsidRDefault="005E662B" w:rsidP="00897582">
            <w:pPr>
              <w:spacing w:before="120" w:after="120"/>
              <w:jc w:val="both"/>
              <w:rPr>
                <w:sz w:val="22"/>
                <w:szCs w:val="22"/>
                <w:lang w:eastAsia="zh-CN" w:bidi="ar"/>
              </w:rPr>
            </w:pPr>
            <w:r w:rsidRPr="005E662B">
              <w:rPr>
                <w:sz w:val="22"/>
                <w:szCs w:val="22"/>
                <w:lang w:eastAsia="x-none"/>
              </w:rPr>
              <w:t xml:space="preserve">Tổ chức, cá nhân liên quan đến thu, nộp, quản lý và sử dụng </w:t>
            </w:r>
            <w:r w:rsidR="00897582" w:rsidRPr="00897582">
              <w:rPr>
                <w:iCs/>
                <w:sz w:val="22"/>
                <w:szCs w:val="22"/>
              </w:rPr>
              <w:t xml:space="preserve">phí thẩm định hồ sơ cấp giấy chứng nhận quyền sử dụng đất </w:t>
            </w:r>
            <w:r w:rsidR="00897582" w:rsidRPr="00897582">
              <w:rPr>
                <w:iCs/>
                <w:sz w:val="22"/>
                <w:szCs w:val="22"/>
                <w:lang w:val="vi-VN"/>
              </w:rPr>
              <w:t xml:space="preserve">trên địa bàn tỉnh </w:t>
            </w:r>
            <w:r w:rsidR="00897582" w:rsidRPr="00897582">
              <w:rPr>
                <w:iCs/>
                <w:sz w:val="22"/>
                <w:szCs w:val="22"/>
              </w:rPr>
              <w:t>Đ</w:t>
            </w:r>
            <w:r w:rsidR="00897582" w:rsidRPr="00897582">
              <w:rPr>
                <w:iCs/>
                <w:sz w:val="22"/>
                <w:szCs w:val="22"/>
                <w:lang w:val="vi-VN"/>
              </w:rPr>
              <w:t xml:space="preserve">ồng </w:t>
            </w:r>
            <w:r w:rsidR="00897582" w:rsidRPr="00897582">
              <w:rPr>
                <w:iCs/>
                <w:sz w:val="22"/>
                <w:szCs w:val="22"/>
              </w:rPr>
              <w:t>N</w:t>
            </w:r>
            <w:r w:rsidR="00897582" w:rsidRPr="00897582">
              <w:rPr>
                <w:iCs/>
                <w:sz w:val="22"/>
                <w:szCs w:val="22"/>
                <w:lang w:val="vi-VN"/>
              </w:rPr>
              <w:t>ai</w:t>
            </w:r>
            <w:r w:rsidR="00897582" w:rsidRPr="00897582">
              <w:rPr>
                <w:sz w:val="22"/>
                <w:szCs w:val="22"/>
                <w:lang w:eastAsia="zh-CN" w:bidi="ar"/>
              </w:rPr>
              <w:t>.</w:t>
            </w:r>
          </w:p>
        </w:tc>
        <w:tc>
          <w:tcPr>
            <w:tcW w:w="1433" w:type="pct"/>
            <w:shd w:val="clear" w:color="auto" w:fill="FFFFFF"/>
            <w:vAlign w:val="center"/>
          </w:tcPr>
          <w:p w14:paraId="73118F24" w14:textId="77777777" w:rsidR="00897582" w:rsidRPr="00897582" w:rsidRDefault="00897582" w:rsidP="00897582">
            <w:pPr>
              <w:spacing w:before="120" w:after="120"/>
              <w:jc w:val="both"/>
              <w:rPr>
                <w:sz w:val="22"/>
                <w:szCs w:val="22"/>
                <w:lang w:eastAsia="zh-CN" w:bidi="ar"/>
              </w:rPr>
            </w:pPr>
            <w:r w:rsidRPr="005E662B">
              <w:rPr>
                <w:sz w:val="22"/>
                <w:szCs w:val="22"/>
                <w:lang w:eastAsia="x-none"/>
              </w:rPr>
              <w:t xml:space="preserve">Tổ chức, cá nhân liên quan đến thu, nộp, quản lý và sử dụng </w:t>
            </w:r>
            <w:r w:rsidRPr="00897582">
              <w:rPr>
                <w:iCs/>
                <w:sz w:val="22"/>
                <w:szCs w:val="22"/>
              </w:rPr>
              <w:t xml:space="preserve">phí thẩm định hồ sơ cấp giấy chứng nhận quyền sử dụng đất lần đầu </w:t>
            </w:r>
            <w:r w:rsidRPr="00897582">
              <w:rPr>
                <w:iCs/>
                <w:sz w:val="22"/>
                <w:szCs w:val="22"/>
                <w:lang w:val="vi-VN"/>
              </w:rPr>
              <w:t xml:space="preserve">trên địa bàn tỉnh </w:t>
            </w:r>
            <w:r w:rsidRPr="00897582">
              <w:rPr>
                <w:iCs/>
                <w:sz w:val="22"/>
                <w:szCs w:val="22"/>
              </w:rPr>
              <w:t>Đ</w:t>
            </w:r>
            <w:r w:rsidRPr="00897582">
              <w:rPr>
                <w:iCs/>
                <w:sz w:val="22"/>
                <w:szCs w:val="22"/>
                <w:lang w:val="vi-VN"/>
              </w:rPr>
              <w:t xml:space="preserve">ồng </w:t>
            </w:r>
            <w:r w:rsidRPr="00897582">
              <w:rPr>
                <w:iCs/>
                <w:sz w:val="22"/>
                <w:szCs w:val="22"/>
              </w:rPr>
              <w:t>N</w:t>
            </w:r>
            <w:r w:rsidRPr="00897582">
              <w:rPr>
                <w:iCs/>
                <w:sz w:val="22"/>
                <w:szCs w:val="22"/>
                <w:lang w:val="vi-VN"/>
              </w:rPr>
              <w:t>ai</w:t>
            </w:r>
            <w:r w:rsidRPr="00897582">
              <w:rPr>
                <w:sz w:val="22"/>
                <w:szCs w:val="22"/>
                <w:lang w:eastAsia="zh-CN" w:bidi="ar"/>
              </w:rPr>
              <w:t>.</w:t>
            </w:r>
          </w:p>
          <w:p w14:paraId="2939E286" w14:textId="03AD434E" w:rsidR="00676497" w:rsidRPr="00B45621" w:rsidRDefault="00676497" w:rsidP="00676497">
            <w:pPr>
              <w:pStyle w:val="NormalWeb"/>
              <w:spacing w:before="60" w:beforeAutospacing="0" w:after="60" w:afterAutospacing="0"/>
              <w:ind w:left="77" w:right="142"/>
              <w:jc w:val="both"/>
              <w:rPr>
                <w:rFonts w:asciiTheme="majorHAnsi" w:hAnsiTheme="majorHAnsi" w:cstheme="majorHAnsi"/>
                <w:sz w:val="22"/>
                <w:szCs w:val="22"/>
              </w:rPr>
            </w:pPr>
          </w:p>
        </w:tc>
        <w:tc>
          <w:tcPr>
            <w:tcW w:w="1021" w:type="pct"/>
            <w:shd w:val="clear" w:color="auto" w:fill="FFFFFF"/>
            <w:vAlign w:val="center"/>
          </w:tcPr>
          <w:p w14:paraId="2CB3E621" w14:textId="5501F36A" w:rsidR="00676497" w:rsidRPr="00676497" w:rsidRDefault="009109EC" w:rsidP="00676497">
            <w:pPr>
              <w:spacing w:before="60" w:after="60" w:line="252" w:lineRule="auto"/>
              <w:ind w:left="78" w:right="138"/>
              <w:jc w:val="both"/>
              <w:rPr>
                <w:rFonts w:eastAsia="Times New Roman"/>
                <w:sz w:val="22"/>
                <w:szCs w:val="22"/>
                <w:highlight w:val="yellow"/>
                <w:lang w:val="nl-NL"/>
              </w:rPr>
            </w:pPr>
            <w:r w:rsidRPr="00546945">
              <w:rPr>
                <w:rFonts w:asciiTheme="majorHAnsi" w:hAnsiTheme="majorHAnsi" w:cstheme="majorHAnsi"/>
                <w:bCs/>
                <w:sz w:val="22"/>
                <w:szCs w:val="22"/>
              </w:rPr>
              <w:t>Rà soát phù hợp quy định Luật đất đai năm 2024</w:t>
            </w:r>
          </w:p>
        </w:tc>
      </w:tr>
      <w:tr w:rsidR="00676497" w:rsidRPr="00B45621" w14:paraId="0A1699D1" w14:textId="77777777" w:rsidTr="00897582">
        <w:tc>
          <w:tcPr>
            <w:tcW w:w="227" w:type="pct"/>
            <w:shd w:val="clear" w:color="auto" w:fill="FFFFFF"/>
            <w:vAlign w:val="center"/>
          </w:tcPr>
          <w:p w14:paraId="0645B331" w14:textId="5DDE0E7F" w:rsidR="00676497" w:rsidRPr="00B45621" w:rsidRDefault="00676497" w:rsidP="00676497">
            <w:pPr>
              <w:pStyle w:val="NormalWeb"/>
              <w:shd w:val="clear" w:color="auto" w:fill="FFFFFF"/>
              <w:spacing w:before="60" w:beforeAutospacing="0" w:after="60" w:afterAutospacing="0"/>
              <w:jc w:val="center"/>
              <w:rPr>
                <w:rFonts w:asciiTheme="majorHAnsi" w:hAnsiTheme="majorHAnsi" w:cstheme="majorHAnsi"/>
                <w:sz w:val="22"/>
                <w:szCs w:val="22"/>
              </w:rPr>
            </w:pPr>
            <w:r w:rsidRPr="00B45621">
              <w:rPr>
                <w:rFonts w:asciiTheme="majorHAnsi" w:hAnsiTheme="majorHAnsi" w:cstheme="majorHAnsi"/>
                <w:sz w:val="22"/>
                <w:szCs w:val="22"/>
              </w:rPr>
              <w:t>3</w:t>
            </w:r>
          </w:p>
        </w:tc>
        <w:tc>
          <w:tcPr>
            <w:tcW w:w="682" w:type="pct"/>
            <w:shd w:val="clear" w:color="auto" w:fill="FFFFFF"/>
            <w:vAlign w:val="center"/>
          </w:tcPr>
          <w:p w14:paraId="4875F181" w14:textId="1EDE22C5" w:rsidR="00676497" w:rsidRPr="00B45621" w:rsidRDefault="00676497" w:rsidP="00676497">
            <w:pPr>
              <w:pStyle w:val="NormalWeb"/>
              <w:shd w:val="clear" w:color="auto" w:fill="FFFFFF"/>
              <w:spacing w:before="60" w:beforeAutospacing="0" w:after="60" w:afterAutospacing="0"/>
              <w:ind w:left="141"/>
              <w:rPr>
                <w:rFonts w:asciiTheme="majorHAnsi" w:hAnsiTheme="majorHAnsi" w:cstheme="majorHAnsi"/>
                <w:b/>
                <w:bCs/>
                <w:sz w:val="22"/>
                <w:szCs w:val="22"/>
              </w:rPr>
            </w:pPr>
            <w:r w:rsidRPr="00B45621">
              <w:rPr>
                <w:rFonts w:asciiTheme="majorHAnsi" w:hAnsiTheme="majorHAnsi" w:cstheme="majorHAnsi"/>
                <w:b/>
                <w:bCs/>
                <w:sz w:val="22"/>
                <w:szCs w:val="22"/>
              </w:rPr>
              <w:t xml:space="preserve">Đối tượng miễn nộp </w:t>
            </w:r>
            <w:r w:rsidR="009109EC">
              <w:rPr>
                <w:rFonts w:asciiTheme="majorHAnsi" w:hAnsiTheme="majorHAnsi" w:cstheme="majorHAnsi"/>
                <w:b/>
                <w:bCs/>
                <w:sz w:val="22"/>
                <w:szCs w:val="22"/>
              </w:rPr>
              <w:t xml:space="preserve">lệ </w:t>
            </w:r>
            <w:r w:rsidRPr="00B45621">
              <w:rPr>
                <w:rFonts w:asciiTheme="majorHAnsi" w:hAnsiTheme="majorHAnsi" w:cstheme="majorHAnsi"/>
                <w:b/>
                <w:bCs/>
                <w:sz w:val="22"/>
                <w:szCs w:val="22"/>
              </w:rPr>
              <w:t>phí</w:t>
            </w:r>
          </w:p>
        </w:tc>
        <w:tc>
          <w:tcPr>
            <w:tcW w:w="1637" w:type="pct"/>
            <w:shd w:val="clear" w:color="auto" w:fill="FFFFFF"/>
            <w:vAlign w:val="center"/>
          </w:tcPr>
          <w:p w14:paraId="2E526427" w14:textId="0BD5557E" w:rsidR="00676497" w:rsidRPr="00B45621" w:rsidRDefault="00676497" w:rsidP="00676497">
            <w:pPr>
              <w:spacing w:before="120" w:after="120"/>
              <w:ind w:right="141" w:firstLine="147"/>
              <w:jc w:val="both"/>
              <w:rPr>
                <w:spacing w:val="3"/>
                <w:sz w:val="22"/>
                <w:szCs w:val="22"/>
                <w:shd w:val="clear" w:color="auto" w:fill="FFFFFF"/>
              </w:rPr>
            </w:pPr>
            <w:r w:rsidRPr="00B45621">
              <w:rPr>
                <w:spacing w:val="3"/>
                <w:sz w:val="22"/>
                <w:szCs w:val="22"/>
                <w:shd w:val="clear" w:color="auto" w:fill="FFFFFF"/>
              </w:rPr>
              <w:t>a) Các hộ nghèo và cận nghèo theo chuẩn nghèo của tỉnh Đồng Nai;</w:t>
            </w:r>
          </w:p>
          <w:p w14:paraId="29D8F2AE" w14:textId="77777777" w:rsidR="00676497" w:rsidRPr="00B45621" w:rsidRDefault="00676497" w:rsidP="00676497">
            <w:pPr>
              <w:spacing w:before="120" w:after="120"/>
              <w:ind w:right="141" w:firstLine="147"/>
              <w:jc w:val="both"/>
              <w:rPr>
                <w:spacing w:val="3"/>
                <w:sz w:val="22"/>
                <w:szCs w:val="22"/>
                <w:shd w:val="clear" w:color="auto" w:fill="FFFFFF"/>
              </w:rPr>
            </w:pPr>
            <w:r w:rsidRPr="00B45621">
              <w:rPr>
                <w:spacing w:val="3"/>
                <w:sz w:val="22"/>
                <w:szCs w:val="22"/>
                <w:shd w:val="clear" w:color="auto" w:fill="FFFFFF"/>
              </w:rPr>
              <w:t>b) Người cao tuổi;</w:t>
            </w:r>
          </w:p>
          <w:p w14:paraId="02E2C4C6" w14:textId="77777777" w:rsidR="00676497" w:rsidRPr="00B45621" w:rsidRDefault="00676497" w:rsidP="00676497">
            <w:pPr>
              <w:spacing w:before="120" w:after="120"/>
              <w:ind w:right="141" w:firstLine="147"/>
              <w:jc w:val="both"/>
              <w:rPr>
                <w:spacing w:val="3"/>
                <w:sz w:val="22"/>
                <w:szCs w:val="22"/>
                <w:shd w:val="clear" w:color="auto" w:fill="FFFFFF"/>
              </w:rPr>
            </w:pPr>
            <w:r w:rsidRPr="00B45621">
              <w:rPr>
                <w:spacing w:val="3"/>
                <w:sz w:val="22"/>
                <w:szCs w:val="22"/>
                <w:shd w:val="clear" w:color="auto" w:fill="FFFFFF"/>
              </w:rPr>
              <w:t>c) Người khuyết tật;</w:t>
            </w:r>
          </w:p>
          <w:p w14:paraId="50A37EF3" w14:textId="77777777" w:rsidR="00676497" w:rsidRPr="00B45621" w:rsidRDefault="00676497" w:rsidP="00676497">
            <w:pPr>
              <w:spacing w:before="120" w:after="120"/>
              <w:ind w:right="141" w:firstLine="147"/>
              <w:jc w:val="both"/>
              <w:rPr>
                <w:spacing w:val="3"/>
                <w:sz w:val="22"/>
                <w:szCs w:val="22"/>
                <w:shd w:val="clear" w:color="auto" w:fill="FFFFFF"/>
              </w:rPr>
            </w:pPr>
            <w:r w:rsidRPr="00B45621">
              <w:rPr>
                <w:spacing w:val="3"/>
                <w:sz w:val="22"/>
                <w:szCs w:val="22"/>
                <w:shd w:val="clear" w:color="auto" w:fill="FFFFFF"/>
              </w:rPr>
              <w:t>d) Người có công với cách mạng;</w:t>
            </w:r>
          </w:p>
          <w:p w14:paraId="67FE51C2" w14:textId="123D6E3C" w:rsidR="00676497" w:rsidRPr="00B45621" w:rsidRDefault="00676497" w:rsidP="00676497">
            <w:pPr>
              <w:ind w:left="78" w:right="141" w:firstLine="147"/>
              <w:jc w:val="both"/>
              <w:rPr>
                <w:rFonts w:asciiTheme="majorHAnsi" w:hAnsiTheme="majorHAnsi" w:cstheme="majorHAnsi"/>
                <w:sz w:val="22"/>
                <w:szCs w:val="22"/>
              </w:rPr>
            </w:pPr>
          </w:p>
        </w:tc>
        <w:tc>
          <w:tcPr>
            <w:tcW w:w="1433" w:type="pct"/>
            <w:shd w:val="clear" w:color="auto" w:fill="FFFFFF"/>
            <w:vAlign w:val="center"/>
          </w:tcPr>
          <w:p w14:paraId="72DC8679" w14:textId="77777777" w:rsidR="00676497" w:rsidRPr="00B45621" w:rsidRDefault="00676497" w:rsidP="00676497">
            <w:pPr>
              <w:spacing w:before="120" w:after="120"/>
              <w:ind w:right="142" w:firstLine="143"/>
              <w:jc w:val="both"/>
              <w:rPr>
                <w:spacing w:val="3"/>
                <w:sz w:val="22"/>
                <w:szCs w:val="22"/>
                <w:shd w:val="clear" w:color="auto" w:fill="FFFFFF"/>
              </w:rPr>
            </w:pPr>
            <w:r w:rsidRPr="00B45621">
              <w:rPr>
                <w:spacing w:val="3"/>
                <w:sz w:val="22"/>
                <w:szCs w:val="22"/>
                <w:shd w:val="clear" w:color="auto" w:fill="FFFFFF"/>
              </w:rPr>
              <w:lastRenderedPageBreak/>
              <w:t>a) Các hộ nghèo;</w:t>
            </w:r>
          </w:p>
          <w:p w14:paraId="111FD2C9" w14:textId="77777777" w:rsidR="00676497" w:rsidRPr="00B45621" w:rsidRDefault="00676497" w:rsidP="00676497">
            <w:pPr>
              <w:spacing w:before="120" w:after="120"/>
              <w:ind w:right="142" w:firstLine="143"/>
              <w:jc w:val="both"/>
              <w:rPr>
                <w:spacing w:val="3"/>
                <w:sz w:val="22"/>
                <w:szCs w:val="22"/>
                <w:shd w:val="clear" w:color="auto" w:fill="FFFFFF"/>
              </w:rPr>
            </w:pPr>
            <w:r w:rsidRPr="00B45621">
              <w:rPr>
                <w:spacing w:val="3"/>
                <w:sz w:val="22"/>
                <w:szCs w:val="22"/>
                <w:shd w:val="clear" w:color="auto" w:fill="FFFFFF"/>
              </w:rPr>
              <w:t>b) Người cao tuổi;</w:t>
            </w:r>
          </w:p>
          <w:p w14:paraId="0CE62231" w14:textId="77777777" w:rsidR="00676497" w:rsidRPr="00B45621" w:rsidRDefault="00676497" w:rsidP="00676497">
            <w:pPr>
              <w:spacing w:before="120" w:after="120"/>
              <w:ind w:right="142" w:firstLine="143"/>
              <w:jc w:val="both"/>
              <w:rPr>
                <w:spacing w:val="3"/>
                <w:sz w:val="22"/>
                <w:szCs w:val="22"/>
                <w:shd w:val="clear" w:color="auto" w:fill="FFFFFF"/>
              </w:rPr>
            </w:pPr>
            <w:r w:rsidRPr="00B45621">
              <w:rPr>
                <w:spacing w:val="3"/>
                <w:sz w:val="22"/>
                <w:szCs w:val="22"/>
                <w:shd w:val="clear" w:color="auto" w:fill="FFFFFF"/>
              </w:rPr>
              <w:t>c) Người khuyết tật;</w:t>
            </w:r>
          </w:p>
          <w:p w14:paraId="73BA7BFA" w14:textId="77777777" w:rsidR="00676497" w:rsidRPr="00B45621" w:rsidRDefault="00676497" w:rsidP="00676497">
            <w:pPr>
              <w:spacing w:before="120" w:after="120"/>
              <w:ind w:right="142" w:firstLine="143"/>
              <w:jc w:val="both"/>
              <w:rPr>
                <w:spacing w:val="3"/>
                <w:sz w:val="22"/>
                <w:szCs w:val="22"/>
                <w:shd w:val="clear" w:color="auto" w:fill="FFFFFF"/>
              </w:rPr>
            </w:pPr>
            <w:r w:rsidRPr="00B45621">
              <w:rPr>
                <w:spacing w:val="3"/>
                <w:sz w:val="22"/>
                <w:szCs w:val="22"/>
                <w:shd w:val="clear" w:color="auto" w:fill="FFFFFF"/>
              </w:rPr>
              <w:t>d) Người có công với cách mạng;</w:t>
            </w:r>
          </w:p>
          <w:p w14:paraId="22937112" w14:textId="54331F47" w:rsidR="00676497" w:rsidRPr="00B45621" w:rsidRDefault="00676497" w:rsidP="00676497">
            <w:pPr>
              <w:pStyle w:val="NormalWeb"/>
              <w:spacing w:before="60" w:beforeAutospacing="0" w:after="60" w:afterAutospacing="0"/>
              <w:ind w:left="77" w:right="142" w:firstLine="143"/>
              <w:jc w:val="both"/>
              <w:rPr>
                <w:rFonts w:asciiTheme="majorHAnsi" w:hAnsiTheme="majorHAnsi" w:cstheme="majorHAnsi"/>
                <w:bCs/>
                <w:iCs/>
                <w:sz w:val="22"/>
                <w:szCs w:val="22"/>
              </w:rPr>
            </w:pPr>
            <w:r w:rsidRPr="00B45621">
              <w:rPr>
                <w:spacing w:val="3"/>
                <w:sz w:val="22"/>
                <w:szCs w:val="22"/>
                <w:shd w:val="clear" w:color="auto" w:fill="FFFFFF"/>
              </w:rPr>
              <w:lastRenderedPageBreak/>
              <w:t>e) Đồng bào dân tộc thiểu số ở các xã có điều kiện kinh tế - xã hội đặc biệt khó khăn;</w:t>
            </w:r>
          </w:p>
        </w:tc>
        <w:tc>
          <w:tcPr>
            <w:tcW w:w="1021" w:type="pct"/>
            <w:shd w:val="clear" w:color="auto" w:fill="FFFFFF"/>
            <w:vAlign w:val="center"/>
          </w:tcPr>
          <w:p w14:paraId="7BC85BCC" w14:textId="77777777" w:rsidR="009109EC" w:rsidRDefault="009109EC" w:rsidP="00676497">
            <w:pPr>
              <w:spacing w:before="60" w:after="60" w:line="252" w:lineRule="auto"/>
              <w:ind w:left="78" w:right="138"/>
              <w:jc w:val="both"/>
              <w:rPr>
                <w:rFonts w:asciiTheme="majorHAnsi" w:hAnsiTheme="majorHAnsi" w:cstheme="majorHAnsi"/>
                <w:sz w:val="22"/>
                <w:szCs w:val="22"/>
              </w:rPr>
            </w:pPr>
          </w:p>
          <w:p w14:paraId="0D65811B" w14:textId="46711891" w:rsidR="00676497" w:rsidRPr="00B45621" w:rsidRDefault="00676497" w:rsidP="00676497">
            <w:pPr>
              <w:spacing w:before="60" w:after="60" w:line="252" w:lineRule="auto"/>
              <w:ind w:left="78" w:right="138"/>
              <w:jc w:val="both"/>
              <w:rPr>
                <w:rFonts w:asciiTheme="majorHAnsi" w:hAnsiTheme="majorHAnsi" w:cstheme="majorHAnsi"/>
                <w:sz w:val="22"/>
                <w:szCs w:val="22"/>
              </w:rPr>
            </w:pPr>
            <w:r w:rsidRPr="00B45621">
              <w:rPr>
                <w:rFonts w:asciiTheme="majorHAnsi" w:hAnsiTheme="majorHAnsi" w:cstheme="majorHAnsi"/>
                <w:sz w:val="22"/>
                <w:szCs w:val="22"/>
              </w:rPr>
              <w:t>Rà soát phù hợp với  Điều 10</w:t>
            </w:r>
            <w:hyperlink r:id="rId8" w:tgtFrame="_blank" w:history="1">
              <w:r w:rsidRPr="00B45621">
                <w:rPr>
                  <w:sz w:val="22"/>
                  <w:szCs w:val="22"/>
                </w:rPr>
                <w:t> Luật Phí và lệ phí 2015</w:t>
              </w:r>
            </w:hyperlink>
          </w:p>
        </w:tc>
      </w:tr>
      <w:tr w:rsidR="00C603E8" w:rsidRPr="00B45621" w14:paraId="228BEF98" w14:textId="77777777" w:rsidTr="00897582">
        <w:tc>
          <w:tcPr>
            <w:tcW w:w="227" w:type="pct"/>
            <w:shd w:val="clear" w:color="auto" w:fill="FFFFFF"/>
            <w:vAlign w:val="center"/>
          </w:tcPr>
          <w:p w14:paraId="520DA0D4" w14:textId="7180DB10" w:rsidR="00C603E8" w:rsidRPr="00B45621" w:rsidRDefault="009109EC" w:rsidP="00C603E8">
            <w:pPr>
              <w:pStyle w:val="NormalWeb"/>
              <w:shd w:val="clear" w:color="auto" w:fill="FFFFFF"/>
              <w:spacing w:before="60" w:beforeAutospacing="0" w:after="60" w:afterAutospacing="0"/>
              <w:ind w:left="-12" w:right="144"/>
              <w:jc w:val="center"/>
              <w:rPr>
                <w:rFonts w:asciiTheme="majorHAnsi" w:hAnsiTheme="majorHAnsi" w:cstheme="majorHAnsi"/>
                <w:sz w:val="22"/>
                <w:szCs w:val="22"/>
              </w:rPr>
            </w:pPr>
            <w:r>
              <w:rPr>
                <w:rFonts w:asciiTheme="majorHAnsi" w:hAnsiTheme="majorHAnsi" w:cstheme="majorHAnsi"/>
                <w:sz w:val="22"/>
                <w:szCs w:val="22"/>
              </w:rPr>
              <w:t>4</w:t>
            </w:r>
          </w:p>
        </w:tc>
        <w:tc>
          <w:tcPr>
            <w:tcW w:w="682" w:type="pct"/>
            <w:shd w:val="clear" w:color="auto" w:fill="FFFFFF"/>
            <w:vAlign w:val="center"/>
          </w:tcPr>
          <w:p w14:paraId="3C5BA459" w14:textId="000DA045" w:rsidR="00C603E8" w:rsidRPr="00B45621" w:rsidRDefault="00C603E8" w:rsidP="00C603E8">
            <w:pPr>
              <w:pStyle w:val="NormalWeb"/>
              <w:shd w:val="clear" w:color="auto" w:fill="FFFFFF"/>
              <w:spacing w:before="60" w:beforeAutospacing="0" w:after="60" w:afterAutospacing="0"/>
              <w:ind w:right="144" w:firstLine="141"/>
              <w:rPr>
                <w:rFonts w:asciiTheme="majorHAnsi" w:hAnsiTheme="majorHAnsi" w:cstheme="majorHAnsi"/>
                <w:b/>
                <w:bCs/>
                <w:sz w:val="22"/>
                <w:szCs w:val="22"/>
              </w:rPr>
            </w:pPr>
            <w:r w:rsidRPr="00B45621">
              <w:rPr>
                <w:rFonts w:asciiTheme="majorHAnsi" w:hAnsiTheme="majorHAnsi" w:cstheme="majorHAnsi"/>
                <w:b/>
                <w:bCs/>
                <w:sz w:val="22"/>
                <w:szCs w:val="22"/>
              </w:rPr>
              <w:t>Chế độ thu, nộp, quản lý và sử dụng phí</w:t>
            </w:r>
          </w:p>
        </w:tc>
        <w:tc>
          <w:tcPr>
            <w:tcW w:w="1637" w:type="pct"/>
            <w:shd w:val="clear" w:color="auto" w:fill="FFFFFF"/>
            <w:vAlign w:val="center"/>
          </w:tcPr>
          <w:p w14:paraId="2B9EE831" w14:textId="77777777" w:rsidR="007D2224" w:rsidRPr="007D2224" w:rsidRDefault="007D2224" w:rsidP="007D2224">
            <w:pPr>
              <w:spacing w:before="120"/>
              <w:ind w:right="141" w:firstLine="567"/>
              <w:jc w:val="both"/>
              <w:rPr>
                <w:bCs/>
                <w:iCs/>
                <w:sz w:val="22"/>
                <w:szCs w:val="22"/>
              </w:rPr>
            </w:pPr>
            <w:r w:rsidRPr="007D2224">
              <w:rPr>
                <w:bCs/>
                <w:iCs/>
                <w:sz w:val="22"/>
                <w:szCs w:val="22"/>
              </w:rPr>
              <w:t>a) Đơn vị sự nghiệp công lập là Văn phòng Đăng ký đất đai tỉnh Đồng Nai và Chi nhánh Văn phòng Đăng ký đất đai: Trích để lại 100% cho đơn vị thu phí để trang trải chi phí hoạt động thu phí và thẩm định hồ sơ cấp giấy chứng nhận quyền sử dụng đất.</w:t>
            </w:r>
          </w:p>
          <w:p w14:paraId="0A3E5B5F" w14:textId="77777777" w:rsidR="007D2224" w:rsidRPr="007D2224" w:rsidRDefault="007D2224" w:rsidP="007D2224">
            <w:pPr>
              <w:spacing w:before="120"/>
              <w:ind w:right="141" w:firstLine="567"/>
              <w:jc w:val="both"/>
              <w:rPr>
                <w:bCs/>
                <w:iCs/>
                <w:sz w:val="22"/>
                <w:szCs w:val="22"/>
              </w:rPr>
            </w:pPr>
            <w:r w:rsidRPr="007D2224">
              <w:rPr>
                <w:bCs/>
                <w:iCs/>
                <w:sz w:val="22"/>
                <w:szCs w:val="22"/>
              </w:rPr>
              <w:t>b) Cơ quan nhà nước: Nộp 100% tiền phí thu được vào Ngân sách nhà nước. Nguồn chi phí trang trải cho việc thẩm định, thu phí do ngân sách nhà nước bố trí trong dự toán của tổ chức thu theo chế độ, định mức chi ngân sách nhà nước theo quy định của pháp luật.</w:t>
            </w:r>
          </w:p>
          <w:p w14:paraId="15440E80" w14:textId="77777777" w:rsidR="007D2224" w:rsidRPr="007D2224" w:rsidRDefault="007D2224" w:rsidP="007D2224">
            <w:pPr>
              <w:spacing w:before="120"/>
              <w:ind w:right="141" w:firstLine="567"/>
              <w:jc w:val="both"/>
              <w:rPr>
                <w:bCs/>
                <w:iCs/>
                <w:sz w:val="22"/>
                <w:szCs w:val="22"/>
              </w:rPr>
            </w:pPr>
            <w:r w:rsidRPr="007D2224">
              <w:rPr>
                <w:bCs/>
                <w:iCs/>
                <w:sz w:val="22"/>
                <w:szCs w:val="22"/>
              </w:rPr>
              <w:t>c) Các nội dung liên quan đến việc kê khai, thu, nộp, quản lý, sử dụng phí được thực hiện theo quy định Luật Phí và lệ phí năm 2015, Nghị định số </w:t>
            </w:r>
            <w:hyperlink r:id="rId9" w:tgtFrame="_blank" w:tooltip="Nghị định 120/2016/NĐ-CP" w:history="1">
              <w:r w:rsidRPr="00BC1E21">
                <w:rPr>
                  <w:rStyle w:val="Hyperlink"/>
                  <w:bCs/>
                  <w:iCs/>
                  <w:color w:val="000000" w:themeColor="text1"/>
                  <w:sz w:val="22"/>
                  <w:szCs w:val="22"/>
                  <w:u w:val="none"/>
                </w:rPr>
                <w:t>120/2016/NĐ-CP</w:t>
              </w:r>
            </w:hyperlink>
            <w:r w:rsidRPr="00BC1E21">
              <w:rPr>
                <w:bCs/>
                <w:iCs/>
                <w:color w:val="000000" w:themeColor="text1"/>
                <w:sz w:val="22"/>
                <w:szCs w:val="22"/>
              </w:rPr>
              <w:t> ngày 23 tháng 8 năm 2016 của Chính phủ quy định chi tiết và hướng dẫn thi hành một số điều của Luật Phí và lệ phí, Nghị định số </w:t>
            </w:r>
            <w:hyperlink r:id="rId10" w:tgtFrame="_blank" w:tooltip="Nghị định 82/2023/NĐ-CP" w:history="1">
              <w:r w:rsidRPr="00BC1E21">
                <w:rPr>
                  <w:rStyle w:val="Hyperlink"/>
                  <w:bCs/>
                  <w:iCs/>
                  <w:color w:val="000000" w:themeColor="text1"/>
                  <w:sz w:val="22"/>
                  <w:szCs w:val="22"/>
                  <w:u w:val="none"/>
                </w:rPr>
                <w:t>82/2023/NĐ-CP</w:t>
              </w:r>
            </w:hyperlink>
            <w:r w:rsidRPr="00BC1E21">
              <w:rPr>
                <w:bCs/>
                <w:iCs/>
                <w:color w:val="000000" w:themeColor="text1"/>
                <w:sz w:val="22"/>
                <w:szCs w:val="22"/>
              </w:rPr>
              <w:t> ngày 28 tháng 11 năm 2023 của chính phủ sửa đổi, bổ sung một số điều của Nghị định số </w:t>
            </w:r>
            <w:hyperlink r:id="rId11" w:tgtFrame="_blank" w:tooltip="Nghị định 120/2016/NĐ-CP" w:history="1">
              <w:r w:rsidRPr="00BC1E21">
                <w:rPr>
                  <w:rStyle w:val="Hyperlink"/>
                  <w:bCs/>
                  <w:iCs/>
                  <w:color w:val="000000" w:themeColor="text1"/>
                  <w:sz w:val="22"/>
                  <w:szCs w:val="22"/>
                  <w:u w:val="none"/>
                </w:rPr>
                <w:t>120/2016/NĐ-CP</w:t>
              </w:r>
            </w:hyperlink>
            <w:r w:rsidRPr="00BC1E21">
              <w:rPr>
                <w:bCs/>
                <w:iCs/>
                <w:color w:val="000000" w:themeColor="text1"/>
                <w:sz w:val="22"/>
                <w:szCs w:val="22"/>
              </w:rPr>
              <w:t> ngày 23 tháng 8 năm 2016 của Chính phủ quy định chi tiết và hướng dẫn thi hành một số điều của Luật Phí và lệ phí và các quy định khác có liên quan.</w:t>
            </w:r>
          </w:p>
          <w:p w14:paraId="22BCB21E" w14:textId="25CA1B42" w:rsidR="00C603E8" w:rsidRPr="00B45621" w:rsidRDefault="00C603E8" w:rsidP="00C603E8">
            <w:pPr>
              <w:ind w:left="221" w:right="141"/>
              <w:jc w:val="both"/>
              <w:rPr>
                <w:rFonts w:asciiTheme="majorHAnsi" w:hAnsiTheme="majorHAnsi" w:cstheme="majorHAnsi"/>
                <w:sz w:val="22"/>
                <w:szCs w:val="22"/>
              </w:rPr>
            </w:pPr>
          </w:p>
        </w:tc>
        <w:tc>
          <w:tcPr>
            <w:tcW w:w="1433" w:type="pct"/>
            <w:shd w:val="clear" w:color="auto" w:fill="FFFFFF"/>
            <w:vAlign w:val="center"/>
          </w:tcPr>
          <w:p w14:paraId="5A3A63BE" w14:textId="77777777" w:rsidR="000548C7" w:rsidRPr="000548C7" w:rsidRDefault="000548C7" w:rsidP="000548C7">
            <w:pPr>
              <w:ind w:firstLine="567"/>
              <w:jc w:val="both"/>
              <w:rPr>
                <w:sz w:val="22"/>
                <w:szCs w:val="22"/>
              </w:rPr>
            </w:pPr>
            <w:r w:rsidRPr="000548C7">
              <w:rPr>
                <w:sz w:val="22"/>
                <w:szCs w:val="22"/>
              </w:rPr>
              <w:t>a) Trường hợp tổ chức thực hiện thu phí được ngân sách nhà nước bảo đảm kinh phí hoạt động, toàn bộ số phí thu được  phẩi nộp 100% vào ngân sách nhà nước theo quy định.</w:t>
            </w:r>
          </w:p>
          <w:p w14:paraId="0D1148BE" w14:textId="77777777" w:rsidR="000548C7" w:rsidRPr="000548C7" w:rsidRDefault="000548C7" w:rsidP="000548C7">
            <w:pPr>
              <w:ind w:firstLine="567"/>
              <w:jc w:val="both"/>
              <w:rPr>
                <w:sz w:val="22"/>
                <w:szCs w:val="22"/>
              </w:rPr>
            </w:pPr>
            <w:r w:rsidRPr="000548C7">
              <w:rPr>
                <w:sz w:val="22"/>
                <w:szCs w:val="22"/>
              </w:rPr>
              <w:t>Hàng năm, căn cứ nhiệm vụ được giao, đơn vị thực hiện thu phí có trách nhiệm lập dự toán thu, chi ngân sách gửi cơ quan có thẩm quyền xem xét, phê duyệt theo quy định của pháp luật về ngân sách nhà nước để phục vụ hoạt động thu phí.</w:t>
            </w:r>
          </w:p>
          <w:p w14:paraId="6B2056E5" w14:textId="77777777" w:rsidR="000548C7" w:rsidRPr="000548C7" w:rsidRDefault="000548C7" w:rsidP="000548C7">
            <w:pPr>
              <w:ind w:firstLine="567"/>
              <w:jc w:val="both"/>
              <w:rPr>
                <w:sz w:val="22"/>
                <w:szCs w:val="22"/>
              </w:rPr>
            </w:pPr>
            <w:r w:rsidRPr="000548C7">
              <w:rPr>
                <w:sz w:val="22"/>
                <w:szCs w:val="22"/>
              </w:rPr>
              <w:t>b) Trường hợp tổ chức thực hiện thu phí chưa được ngân sách nhà nước bảo đảm kinh phí cho hoạt động thu phí thì tổ chức thực hiện thu phí được để lại 70% trong tổng số tiền phí thu được để trang trải chi phí cho hoạt động thu phí; 30% tiền phí thu được còn lại phải nộp vào ngân sách nhà nước.</w:t>
            </w:r>
          </w:p>
          <w:p w14:paraId="5B892A18" w14:textId="7BCE8788" w:rsidR="00BC1E21" w:rsidRPr="00BC1E21" w:rsidRDefault="000548C7" w:rsidP="00BC1E21">
            <w:pPr>
              <w:spacing w:before="120" w:after="120"/>
              <w:ind w:firstLine="567"/>
              <w:jc w:val="both"/>
              <w:rPr>
                <w:sz w:val="22"/>
                <w:szCs w:val="22"/>
              </w:rPr>
            </w:pPr>
            <w:r>
              <w:rPr>
                <w:sz w:val="22"/>
                <w:szCs w:val="22"/>
              </w:rPr>
              <w:t>c</w:t>
            </w:r>
            <w:r w:rsidR="00BC1E21" w:rsidRPr="00BC1E21">
              <w:rPr>
                <w:sz w:val="22"/>
                <w:szCs w:val="22"/>
                <w:lang w:val="vi-VN"/>
              </w:rPr>
              <w:t>) Các nội dung liên quan đến việc kê khai, thu, nộp, quản lý</w:t>
            </w:r>
            <w:r w:rsidR="00BC1E21" w:rsidRPr="00BC1E21">
              <w:rPr>
                <w:sz w:val="22"/>
                <w:szCs w:val="22"/>
              </w:rPr>
              <w:t xml:space="preserve"> lệ phí</w:t>
            </w:r>
            <w:r w:rsidR="00BC1E21" w:rsidRPr="00BC1E21">
              <w:rPr>
                <w:sz w:val="22"/>
                <w:szCs w:val="22"/>
                <w:lang w:val="vi-VN"/>
              </w:rPr>
              <w:t xml:space="preserve"> được thực hiện theo quy định Luật Phí và lệ phí số 97/2015/QH13, Nghị định số </w:t>
            </w:r>
            <w:r w:rsidR="00BC1E21" w:rsidRPr="00BC1E21">
              <w:rPr>
                <w:sz w:val="22"/>
                <w:szCs w:val="22"/>
              </w:rPr>
              <w:t>362/2025</w:t>
            </w:r>
            <w:r w:rsidR="00BC1E21" w:rsidRPr="00BC1E21">
              <w:rPr>
                <w:sz w:val="22"/>
                <w:szCs w:val="22"/>
                <w:lang w:val="vi-VN"/>
              </w:rPr>
              <w:t xml:space="preserve">/NĐ-CP quy định chi tiết </w:t>
            </w:r>
            <w:r w:rsidR="00BC1E21" w:rsidRPr="00BC1E21">
              <w:rPr>
                <w:sz w:val="22"/>
                <w:szCs w:val="22"/>
              </w:rPr>
              <w:t xml:space="preserve">một số điều </w:t>
            </w:r>
            <w:r w:rsidR="00BC1E21" w:rsidRPr="00BC1E21">
              <w:rPr>
                <w:sz w:val="22"/>
                <w:szCs w:val="22"/>
                <w:lang w:val="vi-VN"/>
              </w:rPr>
              <w:t xml:space="preserve">và </w:t>
            </w:r>
            <w:r w:rsidR="00BC1E21" w:rsidRPr="00BC1E21">
              <w:rPr>
                <w:sz w:val="22"/>
                <w:szCs w:val="22"/>
              </w:rPr>
              <w:t>biện pháp để tổ chức, hướng dẫn thi hành Luật phí và lệ phí</w:t>
            </w:r>
            <w:r w:rsidR="00BC1E21" w:rsidRPr="00BC1E21">
              <w:rPr>
                <w:iCs/>
                <w:sz w:val="22"/>
                <w:szCs w:val="22"/>
              </w:rPr>
              <w:t>.</w:t>
            </w:r>
          </w:p>
          <w:p w14:paraId="3C09DCD3" w14:textId="4EE91152" w:rsidR="00C603E8" w:rsidRPr="009109EC" w:rsidRDefault="00C603E8" w:rsidP="00C603E8">
            <w:pPr>
              <w:spacing w:before="60" w:after="60"/>
              <w:ind w:left="139" w:right="142" w:firstLine="1"/>
              <w:jc w:val="both"/>
              <w:rPr>
                <w:rFonts w:asciiTheme="majorHAnsi" w:hAnsiTheme="majorHAnsi" w:cstheme="majorHAnsi"/>
                <w:sz w:val="22"/>
                <w:szCs w:val="22"/>
              </w:rPr>
            </w:pPr>
          </w:p>
        </w:tc>
        <w:tc>
          <w:tcPr>
            <w:tcW w:w="1021" w:type="pct"/>
            <w:shd w:val="clear" w:color="auto" w:fill="FFFFFF"/>
            <w:vAlign w:val="center"/>
          </w:tcPr>
          <w:p w14:paraId="61695FC5" w14:textId="503ED03B" w:rsidR="00C603E8" w:rsidRPr="00B45621" w:rsidRDefault="009109EC" w:rsidP="00C603E8">
            <w:pPr>
              <w:spacing w:before="60" w:after="60"/>
              <w:ind w:left="134" w:right="138"/>
              <w:jc w:val="both"/>
              <w:rPr>
                <w:rFonts w:asciiTheme="majorHAnsi" w:hAnsiTheme="majorHAnsi" w:cstheme="majorHAnsi"/>
                <w:sz w:val="22"/>
                <w:szCs w:val="22"/>
              </w:rPr>
            </w:pPr>
            <w:r>
              <w:rPr>
                <w:rFonts w:asciiTheme="majorHAnsi" w:hAnsiTheme="majorHAnsi" w:cstheme="majorHAnsi"/>
                <w:sz w:val="22"/>
                <w:szCs w:val="22"/>
              </w:rPr>
              <w:t xml:space="preserve">    </w:t>
            </w:r>
            <w:r w:rsidR="00716B90" w:rsidRPr="00B45621">
              <w:rPr>
                <w:rFonts w:asciiTheme="majorHAnsi" w:hAnsiTheme="majorHAnsi" w:cstheme="majorHAnsi"/>
                <w:sz w:val="22"/>
                <w:szCs w:val="22"/>
              </w:rPr>
              <w:t xml:space="preserve">Rà soát phù hợp với </w:t>
            </w:r>
            <w:r w:rsidR="00716B90">
              <w:t xml:space="preserve"> </w:t>
            </w:r>
            <w:hyperlink r:id="rId12" w:tgtFrame="_blank" w:history="1">
              <w:r w:rsidR="00716B90" w:rsidRPr="00716B90">
                <w:rPr>
                  <w:sz w:val="22"/>
                  <w:szCs w:val="22"/>
                </w:rPr>
                <w:t>Luật Phí và lệ phí 2015</w:t>
              </w:r>
            </w:hyperlink>
            <w:r w:rsidR="00716B90" w:rsidRPr="00716B90">
              <w:rPr>
                <w:sz w:val="22"/>
                <w:szCs w:val="22"/>
              </w:rPr>
              <w:t xml:space="preserve"> và các quy định về phí, lệ phí hiện hành</w:t>
            </w:r>
            <w:r w:rsidR="00716B90">
              <w:rPr>
                <w:sz w:val="22"/>
                <w:szCs w:val="22"/>
              </w:rPr>
              <w:t>.</w:t>
            </w:r>
          </w:p>
        </w:tc>
      </w:tr>
      <w:tr w:rsidR="00C603E8" w:rsidRPr="00B45621" w14:paraId="2EF3CED9" w14:textId="77777777" w:rsidTr="00897582">
        <w:tc>
          <w:tcPr>
            <w:tcW w:w="227" w:type="pct"/>
            <w:shd w:val="clear" w:color="auto" w:fill="FFFFFF"/>
            <w:vAlign w:val="center"/>
          </w:tcPr>
          <w:p w14:paraId="78DA0480" w14:textId="540B30E9" w:rsidR="00C603E8" w:rsidRPr="00B45621" w:rsidRDefault="00C603E8" w:rsidP="00C603E8">
            <w:pPr>
              <w:pStyle w:val="NormalWeb"/>
              <w:shd w:val="clear" w:color="auto" w:fill="FFFFFF"/>
              <w:spacing w:before="60" w:beforeAutospacing="0" w:after="60" w:afterAutospacing="0"/>
              <w:ind w:right="144"/>
              <w:jc w:val="center"/>
              <w:rPr>
                <w:rFonts w:asciiTheme="majorHAnsi" w:hAnsiTheme="majorHAnsi" w:cstheme="majorHAnsi"/>
                <w:sz w:val="22"/>
                <w:szCs w:val="22"/>
              </w:rPr>
            </w:pPr>
            <w:r w:rsidRPr="00B45621">
              <w:rPr>
                <w:rFonts w:asciiTheme="majorHAnsi" w:hAnsiTheme="majorHAnsi" w:cstheme="majorHAnsi"/>
                <w:sz w:val="22"/>
                <w:szCs w:val="22"/>
              </w:rPr>
              <w:t>6</w:t>
            </w:r>
          </w:p>
        </w:tc>
        <w:tc>
          <w:tcPr>
            <w:tcW w:w="682" w:type="pct"/>
            <w:shd w:val="clear" w:color="auto" w:fill="FFFFFF"/>
            <w:vAlign w:val="center"/>
          </w:tcPr>
          <w:p w14:paraId="6D9D5A5B" w14:textId="6FDFD422" w:rsidR="00C603E8" w:rsidRPr="00B45621" w:rsidRDefault="00C603E8" w:rsidP="00C603E8">
            <w:pPr>
              <w:pStyle w:val="NormalWeb"/>
              <w:shd w:val="clear" w:color="auto" w:fill="FFFFFF"/>
              <w:spacing w:before="60" w:beforeAutospacing="0" w:after="60" w:afterAutospacing="0"/>
              <w:ind w:right="144" w:firstLine="141"/>
              <w:rPr>
                <w:rFonts w:asciiTheme="majorHAnsi" w:hAnsiTheme="majorHAnsi" w:cstheme="majorHAnsi"/>
                <w:b/>
                <w:bCs/>
                <w:sz w:val="22"/>
                <w:szCs w:val="22"/>
              </w:rPr>
            </w:pPr>
            <w:r w:rsidRPr="00B45621">
              <w:rPr>
                <w:rFonts w:asciiTheme="majorHAnsi" w:hAnsiTheme="majorHAnsi" w:cstheme="majorHAnsi"/>
                <w:b/>
                <w:bCs/>
                <w:sz w:val="22"/>
                <w:szCs w:val="22"/>
              </w:rPr>
              <w:t>Căn cứ pháp lý</w:t>
            </w:r>
          </w:p>
        </w:tc>
        <w:tc>
          <w:tcPr>
            <w:tcW w:w="1637" w:type="pct"/>
            <w:shd w:val="clear" w:color="auto" w:fill="FFFFFF"/>
            <w:vAlign w:val="center"/>
          </w:tcPr>
          <w:p w14:paraId="0A22911F" w14:textId="261F2239" w:rsidR="00683BEA" w:rsidRPr="00683BEA" w:rsidRDefault="00683BEA" w:rsidP="00683BEA">
            <w:pPr>
              <w:spacing w:before="120" w:after="120"/>
              <w:jc w:val="both"/>
              <w:rPr>
                <w:color w:val="000000"/>
                <w:sz w:val="22"/>
                <w:szCs w:val="22"/>
              </w:rPr>
            </w:pPr>
            <w:r>
              <w:rPr>
                <w:color w:val="000000"/>
                <w:sz w:val="22"/>
                <w:szCs w:val="22"/>
              </w:rPr>
              <w:t xml:space="preserve">       </w:t>
            </w:r>
            <w:r w:rsidRPr="00683BEA">
              <w:rPr>
                <w:color w:val="000000"/>
                <w:sz w:val="22"/>
                <w:szCs w:val="22"/>
              </w:rPr>
              <w:t>Căn cứ Luật Tổ chức chính quyền địa phương ngày 19 tháng 6 năm 2015;</w:t>
            </w:r>
          </w:p>
          <w:p w14:paraId="6B2602AA" w14:textId="7AE791D8" w:rsidR="00683BEA" w:rsidRPr="00683BEA" w:rsidRDefault="00683BEA" w:rsidP="00683BEA">
            <w:pPr>
              <w:spacing w:before="120" w:after="120"/>
              <w:jc w:val="both"/>
              <w:rPr>
                <w:color w:val="000000"/>
                <w:sz w:val="22"/>
                <w:szCs w:val="22"/>
              </w:rPr>
            </w:pPr>
            <w:r>
              <w:rPr>
                <w:color w:val="000000"/>
                <w:sz w:val="22"/>
                <w:szCs w:val="22"/>
              </w:rPr>
              <w:t xml:space="preserve">       </w:t>
            </w:r>
            <w:r w:rsidRPr="00683BEA">
              <w:rPr>
                <w:color w:val="000000"/>
                <w:sz w:val="22"/>
                <w:szCs w:val="22"/>
              </w:rPr>
              <w:t>Căn cứ Luật sửa đổi, bổ sung một số điều của Luật Tổ chức Chính phủ và Luật Tổ chức chính quyền địa phương ngày 22 tháng 11 năm 2019;</w:t>
            </w:r>
          </w:p>
          <w:p w14:paraId="2C412623" w14:textId="35C507E1" w:rsidR="00683BEA" w:rsidRPr="00683BEA" w:rsidRDefault="00683BEA" w:rsidP="00683BEA">
            <w:pPr>
              <w:spacing w:before="120" w:after="120"/>
              <w:jc w:val="both"/>
              <w:rPr>
                <w:color w:val="000000"/>
                <w:sz w:val="22"/>
                <w:szCs w:val="22"/>
              </w:rPr>
            </w:pPr>
            <w:r>
              <w:rPr>
                <w:color w:val="000000"/>
                <w:sz w:val="22"/>
                <w:szCs w:val="22"/>
              </w:rPr>
              <w:t xml:space="preserve">       </w:t>
            </w:r>
            <w:r w:rsidRPr="00683BEA">
              <w:rPr>
                <w:color w:val="000000"/>
                <w:sz w:val="22"/>
                <w:szCs w:val="22"/>
              </w:rPr>
              <w:t>Căn cứ Luật Ban hành văn bản quy phạm pháp luật ngày 22 tháng 6 năm 2015;</w:t>
            </w:r>
          </w:p>
          <w:p w14:paraId="5A60DE03" w14:textId="62CC1874" w:rsidR="00683BEA" w:rsidRPr="00683BEA" w:rsidRDefault="00683BEA" w:rsidP="00683BEA">
            <w:pPr>
              <w:spacing w:before="120" w:after="120"/>
              <w:jc w:val="both"/>
              <w:rPr>
                <w:color w:val="000000"/>
                <w:sz w:val="22"/>
                <w:szCs w:val="22"/>
              </w:rPr>
            </w:pPr>
            <w:r>
              <w:rPr>
                <w:color w:val="000000"/>
                <w:sz w:val="22"/>
                <w:szCs w:val="22"/>
              </w:rPr>
              <w:lastRenderedPageBreak/>
              <w:t xml:space="preserve">       </w:t>
            </w:r>
            <w:r w:rsidRPr="00683BEA">
              <w:rPr>
                <w:color w:val="000000"/>
                <w:sz w:val="22"/>
                <w:szCs w:val="22"/>
              </w:rPr>
              <w:t>Căn cứ Luật sửa đổi, bổ sung một số điều của Luật Ban hành văn bản quy phạm pháp luật ngày 18 tháng 6 năm 2020;</w:t>
            </w:r>
          </w:p>
          <w:p w14:paraId="5131F600" w14:textId="26753B0F" w:rsidR="00683BEA" w:rsidRPr="00683BEA" w:rsidRDefault="00683BEA" w:rsidP="00683BEA">
            <w:pPr>
              <w:spacing w:before="120" w:after="120"/>
              <w:jc w:val="both"/>
              <w:rPr>
                <w:color w:val="000000"/>
                <w:sz w:val="22"/>
                <w:szCs w:val="22"/>
              </w:rPr>
            </w:pPr>
            <w:r>
              <w:rPr>
                <w:color w:val="000000"/>
                <w:sz w:val="22"/>
                <w:szCs w:val="22"/>
              </w:rPr>
              <w:t xml:space="preserve">        </w:t>
            </w:r>
            <w:r w:rsidRPr="00683BEA">
              <w:rPr>
                <w:color w:val="000000"/>
                <w:sz w:val="22"/>
                <w:szCs w:val="22"/>
              </w:rPr>
              <w:t>Căn cứ Luật Phí và Lệ phí ngày 25 tháng 11 năm 2015;</w:t>
            </w:r>
          </w:p>
          <w:p w14:paraId="04B740D6" w14:textId="2CC03000" w:rsidR="00683BEA" w:rsidRPr="00683BEA" w:rsidRDefault="00683BEA" w:rsidP="00683BEA">
            <w:pPr>
              <w:spacing w:before="120" w:after="120"/>
              <w:jc w:val="both"/>
              <w:rPr>
                <w:color w:val="000000"/>
                <w:sz w:val="22"/>
                <w:szCs w:val="22"/>
              </w:rPr>
            </w:pPr>
            <w:r>
              <w:rPr>
                <w:color w:val="000000"/>
                <w:sz w:val="22"/>
                <w:szCs w:val="22"/>
              </w:rPr>
              <w:t xml:space="preserve">        </w:t>
            </w:r>
            <w:r w:rsidRPr="00683BEA">
              <w:rPr>
                <w:color w:val="000000"/>
                <w:sz w:val="22"/>
                <w:szCs w:val="22"/>
              </w:rPr>
              <w:t>Căn cứ Luật Đất đai ngày 18 tháng 01 năm 2024;</w:t>
            </w:r>
          </w:p>
          <w:p w14:paraId="053EF543" w14:textId="6D77FC3E" w:rsidR="00683BEA" w:rsidRPr="00683BEA" w:rsidRDefault="00683BEA" w:rsidP="00683BEA">
            <w:pPr>
              <w:spacing w:before="120" w:after="120"/>
              <w:jc w:val="both"/>
              <w:rPr>
                <w:color w:val="000000"/>
                <w:sz w:val="22"/>
                <w:szCs w:val="22"/>
              </w:rPr>
            </w:pPr>
            <w:r>
              <w:rPr>
                <w:color w:val="000000"/>
                <w:sz w:val="22"/>
                <w:szCs w:val="22"/>
              </w:rPr>
              <w:t xml:space="preserve">       </w:t>
            </w:r>
            <w:r w:rsidRPr="00683BEA">
              <w:rPr>
                <w:color w:val="000000"/>
                <w:sz w:val="22"/>
                <w:szCs w:val="22"/>
              </w:rPr>
              <w:t xml:space="preserve">Căn cứ Luật sửa đổi, bổ sung một số điều của Luật Đất đai số 31/2024/QH15, Luật Nhà ở số 27/2023/QH15, Luật Kinh doanh bất động sản số 29/2023/QH15 và Luật </w:t>
            </w:r>
            <w:r>
              <w:rPr>
                <w:color w:val="000000"/>
                <w:sz w:val="22"/>
                <w:szCs w:val="22"/>
              </w:rPr>
              <w:t xml:space="preserve">      </w:t>
            </w:r>
            <w:r w:rsidRPr="00683BEA">
              <w:rPr>
                <w:color w:val="000000"/>
                <w:sz w:val="22"/>
                <w:szCs w:val="22"/>
              </w:rPr>
              <w:t>Các tổ chức tín dụng số 32/2024/QH15 ngày 29 tháng 6 năm 2024;</w:t>
            </w:r>
          </w:p>
          <w:p w14:paraId="5B53C290" w14:textId="7E2A57FD" w:rsidR="00683BEA" w:rsidRPr="00683BEA" w:rsidRDefault="00683BEA" w:rsidP="00683BEA">
            <w:pPr>
              <w:spacing w:before="120" w:after="120"/>
              <w:jc w:val="both"/>
              <w:rPr>
                <w:color w:val="000000"/>
                <w:sz w:val="22"/>
                <w:szCs w:val="22"/>
              </w:rPr>
            </w:pPr>
            <w:r>
              <w:rPr>
                <w:color w:val="000000"/>
                <w:sz w:val="22"/>
                <w:szCs w:val="22"/>
              </w:rPr>
              <w:t xml:space="preserve">       </w:t>
            </w:r>
            <w:r w:rsidRPr="00683BEA">
              <w:rPr>
                <w:color w:val="000000"/>
                <w:sz w:val="22"/>
                <w:szCs w:val="22"/>
              </w:rPr>
              <w:t>Căn cứ Nghị định số </w:t>
            </w:r>
            <w:hyperlink r:id="rId13" w:tgtFrame="_blank" w:tooltip="Nghị định 120/2016/NĐ-CP" w:history="1">
              <w:r w:rsidRPr="009109EC">
                <w:rPr>
                  <w:rStyle w:val="Hyperlink"/>
                  <w:color w:val="000000" w:themeColor="text1"/>
                  <w:sz w:val="22"/>
                  <w:szCs w:val="22"/>
                  <w:u w:val="none"/>
                </w:rPr>
                <w:t>120/2016/NĐ-CP</w:t>
              </w:r>
            </w:hyperlink>
            <w:r w:rsidRPr="00683BEA">
              <w:rPr>
                <w:color w:val="000000"/>
                <w:sz w:val="22"/>
                <w:szCs w:val="22"/>
              </w:rPr>
              <w:t> ngày 23 tháng 8 năm 2016 của Chính phủ Quy định chi tiết và hướng dẫn thi hành một số điều của Luật Phí và lệ phí;</w:t>
            </w:r>
          </w:p>
          <w:p w14:paraId="375BE322" w14:textId="43555DA4" w:rsidR="00683BEA" w:rsidRPr="009109EC" w:rsidRDefault="00683BEA" w:rsidP="00683BEA">
            <w:pPr>
              <w:spacing w:before="120" w:after="120"/>
              <w:jc w:val="both"/>
              <w:rPr>
                <w:rStyle w:val="Hyperlink"/>
                <w:color w:val="000000" w:themeColor="text1"/>
                <w:sz w:val="22"/>
                <w:szCs w:val="22"/>
                <w:u w:val="none"/>
              </w:rPr>
            </w:pPr>
            <w:r>
              <w:rPr>
                <w:color w:val="000000"/>
                <w:sz w:val="22"/>
                <w:szCs w:val="22"/>
              </w:rPr>
              <w:t xml:space="preserve">      </w:t>
            </w:r>
            <w:r w:rsidRPr="009109EC">
              <w:rPr>
                <w:rStyle w:val="Hyperlink"/>
                <w:color w:val="000000" w:themeColor="text1"/>
                <w:sz w:val="22"/>
                <w:szCs w:val="22"/>
                <w:u w:val="none"/>
              </w:rPr>
              <w:t>Căn cứ Nghị định số </w:t>
            </w:r>
            <w:hyperlink r:id="rId14" w:tgtFrame="_blank" w:tooltip="Nghị định 82/2023/NĐ-CP" w:history="1">
              <w:r w:rsidRPr="009109EC">
                <w:rPr>
                  <w:rStyle w:val="Hyperlink"/>
                  <w:color w:val="000000" w:themeColor="text1"/>
                  <w:sz w:val="22"/>
                  <w:szCs w:val="22"/>
                  <w:u w:val="none"/>
                </w:rPr>
                <w:t>82/2023/NĐ-CP</w:t>
              </w:r>
            </w:hyperlink>
            <w:r w:rsidRPr="009109EC">
              <w:rPr>
                <w:rStyle w:val="Hyperlink"/>
                <w:color w:val="000000" w:themeColor="text1"/>
                <w:sz w:val="22"/>
                <w:szCs w:val="22"/>
                <w:u w:val="none"/>
              </w:rPr>
              <w:t> ngày 28 tháng 11 năm 2023 của Chính phủ Sửa đổi, bổ sung một số điều của Nghị định số </w:t>
            </w:r>
            <w:hyperlink r:id="rId15" w:tgtFrame="_blank" w:tooltip="Nghị định 120/2016/NĐ-CP" w:history="1">
              <w:r w:rsidRPr="009109EC">
                <w:rPr>
                  <w:rStyle w:val="Hyperlink"/>
                  <w:color w:val="000000" w:themeColor="text1"/>
                  <w:sz w:val="22"/>
                  <w:szCs w:val="22"/>
                  <w:u w:val="none"/>
                </w:rPr>
                <w:t>120/2016/NĐ-CP</w:t>
              </w:r>
            </w:hyperlink>
            <w:r w:rsidRPr="009109EC">
              <w:rPr>
                <w:rStyle w:val="Hyperlink"/>
                <w:color w:val="000000" w:themeColor="text1"/>
                <w:sz w:val="22"/>
                <w:szCs w:val="22"/>
                <w:u w:val="none"/>
              </w:rPr>
              <w:t> ngày 23 tháng 8 năm 2016 của Chính phủ Quy định chi tiết và hướng dẫn thi hành một số điều của Luật Phí và lệ phí;</w:t>
            </w:r>
          </w:p>
          <w:p w14:paraId="430DE7D2" w14:textId="07ED0516" w:rsidR="00683BEA" w:rsidRPr="009109EC" w:rsidRDefault="00683BEA" w:rsidP="00683BEA">
            <w:pPr>
              <w:spacing w:before="120" w:after="120"/>
              <w:jc w:val="both"/>
              <w:rPr>
                <w:rStyle w:val="Hyperlink"/>
                <w:color w:val="000000" w:themeColor="text1"/>
                <w:sz w:val="22"/>
                <w:szCs w:val="22"/>
                <w:u w:val="none"/>
              </w:rPr>
            </w:pPr>
            <w:r w:rsidRPr="009109EC">
              <w:rPr>
                <w:rStyle w:val="Hyperlink"/>
                <w:color w:val="000000" w:themeColor="text1"/>
                <w:sz w:val="22"/>
                <w:szCs w:val="22"/>
                <w:u w:val="none"/>
              </w:rPr>
              <w:t xml:space="preserve">      Căn cứ Nghị định số </w:t>
            </w:r>
            <w:hyperlink r:id="rId16" w:tgtFrame="_blank" w:tooltip="Nghị định 102/2024/NĐ-CP" w:history="1">
              <w:r w:rsidRPr="009109EC">
                <w:rPr>
                  <w:rStyle w:val="Hyperlink"/>
                  <w:color w:val="000000" w:themeColor="text1"/>
                  <w:sz w:val="22"/>
                  <w:szCs w:val="22"/>
                  <w:u w:val="none"/>
                </w:rPr>
                <w:t>102/2024/NĐ-CP</w:t>
              </w:r>
            </w:hyperlink>
            <w:r w:rsidRPr="009109EC">
              <w:rPr>
                <w:rStyle w:val="Hyperlink"/>
                <w:color w:val="000000" w:themeColor="text1"/>
                <w:sz w:val="22"/>
                <w:szCs w:val="22"/>
                <w:u w:val="none"/>
              </w:rPr>
              <w:t> ngày 30 tháng 7 năm 2024 của Chính phủ Quy định chi tiết thi hành một số điều của Luật Đất đai;</w:t>
            </w:r>
          </w:p>
          <w:p w14:paraId="07833EC8" w14:textId="0703A4A0" w:rsidR="00683BEA" w:rsidRPr="009109EC" w:rsidRDefault="00683BEA" w:rsidP="00683BEA">
            <w:pPr>
              <w:spacing w:before="120" w:after="120"/>
              <w:jc w:val="both"/>
              <w:rPr>
                <w:rStyle w:val="Hyperlink"/>
                <w:color w:val="000000" w:themeColor="text1"/>
                <w:sz w:val="22"/>
                <w:szCs w:val="22"/>
                <w:u w:val="none"/>
              </w:rPr>
            </w:pPr>
            <w:r w:rsidRPr="009109EC">
              <w:rPr>
                <w:rStyle w:val="Hyperlink"/>
                <w:color w:val="000000" w:themeColor="text1"/>
                <w:sz w:val="22"/>
                <w:szCs w:val="22"/>
                <w:u w:val="none"/>
              </w:rPr>
              <w:t xml:space="preserve">      Căn cứ Thông tư số </w:t>
            </w:r>
            <w:hyperlink r:id="rId17" w:tgtFrame="_blank" w:tooltip="Thông tư 85/2019/TT-BTC" w:history="1">
              <w:r w:rsidRPr="009109EC">
                <w:rPr>
                  <w:rStyle w:val="Hyperlink"/>
                  <w:color w:val="000000" w:themeColor="text1"/>
                  <w:sz w:val="22"/>
                  <w:szCs w:val="22"/>
                  <w:u w:val="none"/>
                </w:rPr>
                <w:t>85/2019/TT-BTC</w:t>
              </w:r>
            </w:hyperlink>
            <w:r w:rsidRPr="009109EC">
              <w:rPr>
                <w:rStyle w:val="Hyperlink"/>
                <w:color w:val="000000" w:themeColor="text1"/>
                <w:sz w:val="22"/>
                <w:szCs w:val="22"/>
                <w:u w:val="none"/>
              </w:rPr>
              <w:t> ngày 29 tháng 11 năm 2019 của Bộ trưởng Bộ Tài chính Hướng dẫn về phí và lệ phí thuộc thẩm quyền quyết định của Hội đồng nhân dân tỉnh, thành phố trực thuộc Trung ương;</w:t>
            </w:r>
          </w:p>
          <w:p w14:paraId="510C29D0" w14:textId="74239A1F" w:rsidR="00683BEA" w:rsidRPr="009109EC" w:rsidRDefault="00683BEA" w:rsidP="00683BEA">
            <w:pPr>
              <w:spacing w:before="120" w:after="120"/>
              <w:jc w:val="both"/>
              <w:rPr>
                <w:rStyle w:val="Hyperlink"/>
                <w:color w:val="000000" w:themeColor="text1"/>
                <w:sz w:val="22"/>
                <w:szCs w:val="22"/>
                <w:u w:val="none"/>
              </w:rPr>
            </w:pPr>
            <w:r w:rsidRPr="009109EC">
              <w:rPr>
                <w:rStyle w:val="Hyperlink"/>
                <w:color w:val="000000" w:themeColor="text1"/>
                <w:sz w:val="22"/>
                <w:szCs w:val="22"/>
                <w:u w:val="none"/>
              </w:rPr>
              <w:t xml:space="preserve">      Căn cứ Thông tư số </w:t>
            </w:r>
            <w:hyperlink r:id="rId18" w:tgtFrame="_blank" w:tooltip="Thông tư 106/2021/TT-BTC" w:history="1">
              <w:r w:rsidRPr="009109EC">
                <w:rPr>
                  <w:rStyle w:val="Hyperlink"/>
                  <w:color w:val="000000" w:themeColor="text1"/>
                  <w:sz w:val="22"/>
                  <w:szCs w:val="22"/>
                  <w:u w:val="none"/>
                </w:rPr>
                <w:t>106/2021/TT-BTC</w:t>
              </w:r>
            </w:hyperlink>
            <w:r w:rsidRPr="009109EC">
              <w:rPr>
                <w:rStyle w:val="Hyperlink"/>
                <w:color w:val="000000" w:themeColor="text1"/>
                <w:sz w:val="22"/>
                <w:szCs w:val="22"/>
                <w:u w:val="none"/>
              </w:rPr>
              <w:t> ngày 26 tháng 11 năm 2021 của Bộ trưởng Bộ Tài chính sửa đổi, bổ sung một số điều của Thông tư số </w:t>
            </w:r>
            <w:hyperlink r:id="rId19" w:tgtFrame="_blank" w:tooltip="Thông tư 85/2019/TT-BTC" w:history="1">
              <w:r w:rsidRPr="009109EC">
                <w:rPr>
                  <w:rStyle w:val="Hyperlink"/>
                  <w:color w:val="000000" w:themeColor="text1"/>
                  <w:sz w:val="22"/>
                  <w:szCs w:val="22"/>
                  <w:u w:val="none"/>
                </w:rPr>
                <w:t>85/2019/TT-BTC</w:t>
              </w:r>
            </w:hyperlink>
            <w:r w:rsidRPr="009109EC">
              <w:rPr>
                <w:rStyle w:val="Hyperlink"/>
                <w:color w:val="000000" w:themeColor="text1"/>
                <w:sz w:val="22"/>
                <w:szCs w:val="22"/>
                <w:u w:val="none"/>
              </w:rPr>
              <w:t> ngày 29 tháng 11 năm 2019 của Bộ trưởng Bộ Tài chính hướng dẫn về phí và lệ phí thuộc thẩm quyền quyết định của Hội đồng nhân dân tỉnh, thành phố trực thuộc Trung ương;</w:t>
            </w:r>
          </w:p>
          <w:p w14:paraId="5AAD0261" w14:textId="474EF7C0" w:rsidR="00683BEA" w:rsidRPr="009109EC" w:rsidRDefault="00683BEA" w:rsidP="00683BEA">
            <w:pPr>
              <w:spacing w:before="120" w:after="120"/>
              <w:jc w:val="both"/>
              <w:rPr>
                <w:rStyle w:val="Hyperlink"/>
                <w:color w:val="000000" w:themeColor="text1"/>
                <w:sz w:val="22"/>
                <w:szCs w:val="22"/>
                <w:u w:val="none"/>
              </w:rPr>
            </w:pPr>
            <w:r w:rsidRPr="009109EC">
              <w:rPr>
                <w:rStyle w:val="Hyperlink"/>
                <w:color w:val="000000" w:themeColor="text1"/>
                <w:sz w:val="22"/>
                <w:szCs w:val="22"/>
                <w:u w:val="none"/>
              </w:rPr>
              <w:lastRenderedPageBreak/>
              <w:t xml:space="preserve">     Căn cứ Thông tư số </w:t>
            </w:r>
            <w:hyperlink r:id="rId20" w:tgtFrame="_blank" w:tooltip="Thông tư 10/2024/TT-BTNMT" w:history="1">
              <w:r w:rsidRPr="009109EC">
                <w:rPr>
                  <w:rStyle w:val="Hyperlink"/>
                  <w:color w:val="000000" w:themeColor="text1"/>
                  <w:sz w:val="22"/>
                  <w:szCs w:val="22"/>
                  <w:u w:val="none"/>
                </w:rPr>
                <w:t>10/2024/TT-BTNMT</w:t>
              </w:r>
            </w:hyperlink>
            <w:r w:rsidRPr="009109EC">
              <w:rPr>
                <w:rStyle w:val="Hyperlink"/>
                <w:color w:val="000000" w:themeColor="text1"/>
                <w:sz w:val="22"/>
                <w:szCs w:val="22"/>
                <w:u w:val="none"/>
              </w:rPr>
              <w:t> ngày 31 tháng 7 năm 2024 của Bộ trưởng Bộ Tài nguyên và Môi trường Quy định về hồ sơ địa chính, giấy chứng nhận quyền sử dụng đất, quyền sở hữu tài sản khác gắn liền với đất;</w:t>
            </w:r>
          </w:p>
          <w:p w14:paraId="7A519C8B" w14:textId="14BFEFD8" w:rsidR="00C603E8" w:rsidRPr="00683BEA" w:rsidRDefault="00C603E8" w:rsidP="00C603E8">
            <w:pPr>
              <w:ind w:left="220" w:right="141" w:firstLine="430"/>
              <w:jc w:val="both"/>
              <w:rPr>
                <w:rFonts w:asciiTheme="majorHAnsi" w:hAnsiTheme="majorHAnsi" w:cstheme="majorHAnsi"/>
                <w:sz w:val="22"/>
                <w:szCs w:val="22"/>
              </w:rPr>
            </w:pPr>
          </w:p>
        </w:tc>
        <w:tc>
          <w:tcPr>
            <w:tcW w:w="1433" w:type="pct"/>
            <w:shd w:val="clear" w:color="auto" w:fill="FFFFFF"/>
            <w:vAlign w:val="center"/>
          </w:tcPr>
          <w:p w14:paraId="78496962" w14:textId="659CEA5C" w:rsidR="009109EC" w:rsidRPr="009109EC" w:rsidRDefault="009109EC" w:rsidP="009109EC">
            <w:pPr>
              <w:spacing w:before="120" w:after="120"/>
              <w:jc w:val="both"/>
              <w:rPr>
                <w:color w:val="0D0D0D" w:themeColor="text1" w:themeTint="F2"/>
                <w:sz w:val="22"/>
                <w:szCs w:val="22"/>
                <w:lang w:val="vi-VN"/>
              </w:rPr>
            </w:pPr>
            <w:r>
              <w:rPr>
                <w:color w:val="0D0D0D" w:themeColor="text1" w:themeTint="F2"/>
                <w:sz w:val="22"/>
                <w:szCs w:val="22"/>
              </w:rPr>
              <w:lastRenderedPageBreak/>
              <w:t xml:space="preserve">     </w:t>
            </w:r>
            <w:r w:rsidRPr="009109EC">
              <w:rPr>
                <w:color w:val="0D0D0D" w:themeColor="text1" w:themeTint="F2"/>
                <w:sz w:val="22"/>
                <w:szCs w:val="22"/>
                <w:lang w:val="vi-VN"/>
              </w:rPr>
              <w:t>Căn cứ Luật Tổ chức chính quyền địa phương số 72/2025/QH15;</w:t>
            </w:r>
          </w:p>
          <w:p w14:paraId="335CDE79" w14:textId="781D796B" w:rsidR="009109EC" w:rsidRPr="009109EC" w:rsidRDefault="009109EC" w:rsidP="009109EC">
            <w:pPr>
              <w:spacing w:before="120" w:after="120"/>
              <w:jc w:val="both"/>
              <w:rPr>
                <w:color w:val="0D0D0D" w:themeColor="text1" w:themeTint="F2"/>
                <w:sz w:val="22"/>
                <w:szCs w:val="22"/>
              </w:rPr>
            </w:pPr>
            <w:r>
              <w:rPr>
                <w:color w:val="0D0D0D" w:themeColor="text1" w:themeTint="F2"/>
                <w:sz w:val="22"/>
                <w:szCs w:val="22"/>
              </w:rPr>
              <w:t xml:space="preserve">     </w:t>
            </w:r>
            <w:r w:rsidRPr="009109EC">
              <w:rPr>
                <w:color w:val="0D0D0D" w:themeColor="text1" w:themeTint="F2"/>
                <w:sz w:val="22"/>
                <w:szCs w:val="22"/>
              </w:rPr>
              <w:t>Căn cứ Luật Ban hành văn bản quy phạm pháp luật số 64/2025/QH15 được sửa đổi, bổ sung bởi Luật số 87/2025/QH15;</w:t>
            </w:r>
          </w:p>
          <w:p w14:paraId="0CCF83D4" w14:textId="3325D590" w:rsidR="009109EC" w:rsidRPr="009109EC" w:rsidRDefault="009109EC" w:rsidP="009109EC">
            <w:pPr>
              <w:ind w:left="57"/>
              <w:jc w:val="both"/>
              <w:rPr>
                <w:color w:val="0D0D0D" w:themeColor="text1" w:themeTint="F2"/>
                <w:sz w:val="22"/>
                <w:szCs w:val="22"/>
              </w:rPr>
            </w:pPr>
            <w:r>
              <w:rPr>
                <w:color w:val="0D0D0D" w:themeColor="text1" w:themeTint="F2"/>
                <w:sz w:val="22"/>
                <w:szCs w:val="22"/>
              </w:rPr>
              <w:t xml:space="preserve">     </w:t>
            </w:r>
            <w:r w:rsidRPr="009109EC">
              <w:rPr>
                <w:color w:val="0D0D0D" w:themeColor="text1" w:themeTint="F2"/>
                <w:sz w:val="22"/>
                <w:szCs w:val="22"/>
              </w:rPr>
              <w:t xml:space="preserve">Căn cứ Luật Phí và lệ phí số 97/2015/QH13; </w:t>
            </w:r>
          </w:p>
          <w:p w14:paraId="732B5128" w14:textId="7F58F6BE" w:rsidR="009109EC" w:rsidRDefault="009109EC" w:rsidP="009109EC">
            <w:pPr>
              <w:ind w:left="-33" w:firstLine="33"/>
              <w:jc w:val="both"/>
              <w:rPr>
                <w:color w:val="0D0D0D" w:themeColor="text1" w:themeTint="F2"/>
                <w:sz w:val="22"/>
                <w:szCs w:val="22"/>
              </w:rPr>
            </w:pPr>
            <w:r>
              <w:rPr>
                <w:color w:val="0D0D0D" w:themeColor="text1" w:themeTint="F2"/>
                <w:sz w:val="22"/>
                <w:szCs w:val="22"/>
              </w:rPr>
              <w:t xml:space="preserve">      </w:t>
            </w:r>
            <w:r w:rsidRPr="009109EC">
              <w:rPr>
                <w:color w:val="0D0D0D" w:themeColor="text1" w:themeTint="F2"/>
                <w:sz w:val="22"/>
                <w:szCs w:val="22"/>
              </w:rPr>
              <w:t>Căn cứ Luật Đất đai số 31/2024/QH15 ngày 18 tháng 01 năm 2024;</w:t>
            </w:r>
          </w:p>
          <w:p w14:paraId="147CBDC9" w14:textId="1677E18F" w:rsidR="009109EC" w:rsidRPr="009109EC" w:rsidRDefault="009109EC" w:rsidP="009109EC">
            <w:pPr>
              <w:jc w:val="both"/>
              <w:rPr>
                <w:color w:val="0D0D0D" w:themeColor="text1" w:themeTint="F2"/>
                <w:sz w:val="22"/>
                <w:szCs w:val="22"/>
              </w:rPr>
            </w:pPr>
            <w:r>
              <w:rPr>
                <w:bCs/>
                <w:sz w:val="22"/>
                <w:szCs w:val="22"/>
                <w:lang w:val="pt-BR"/>
              </w:rPr>
              <w:lastRenderedPageBreak/>
              <w:t xml:space="preserve">      </w:t>
            </w:r>
            <w:r w:rsidRPr="009109EC">
              <w:rPr>
                <w:bCs/>
                <w:sz w:val="22"/>
                <w:szCs w:val="22"/>
                <w:lang w:val="pt-BR"/>
              </w:rPr>
              <w:t>Căn cứ Nghị quyết 254/2025/QH15 ngày 11/12/2025 của Quốc hội q</w:t>
            </w:r>
            <w:r w:rsidRPr="009109EC">
              <w:rPr>
                <w:sz w:val="22"/>
                <w:szCs w:val="22"/>
              </w:rPr>
              <w:t>uy định một số cơ chế, chính sách tháo gỡ khó khăn, vướng mắc trong tổ chức thi hành Luật Đất đai;</w:t>
            </w:r>
          </w:p>
          <w:p w14:paraId="1089737B" w14:textId="5C3A0299" w:rsidR="009109EC" w:rsidRPr="009109EC" w:rsidRDefault="009109EC" w:rsidP="009109EC">
            <w:pPr>
              <w:tabs>
                <w:tab w:val="left" w:pos="900"/>
              </w:tabs>
              <w:spacing w:after="120"/>
              <w:jc w:val="both"/>
              <w:rPr>
                <w:bCs/>
                <w:sz w:val="22"/>
                <w:szCs w:val="22"/>
              </w:rPr>
            </w:pPr>
            <w:r>
              <w:rPr>
                <w:bCs/>
                <w:sz w:val="22"/>
                <w:szCs w:val="22"/>
                <w:lang w:val="pt-BR"/>
              </w:rPr>
              <w:t xml:space="preserve">      </w:t>
            </w:r>
            <w:r w:rsidRPr="009109EC">
              <w:rPr>
                <w:bCs/>
                <w:sz w:val="22"/>
                <w:szCs w:val="22"/>
                <w:lang w:val="pt-BR"/>
              </w:rPr>
              <w:t xml:space="preserve">Căn cứ Nghị định 49/2024/NĐ-CP ngày 31/1/2026 của Chính phủ quy định </w:t>
            </w:r>
            <w:r w:rsidRPr="009109EC">
              <w:rPr>
                <w:bCs/>
                <w:sz w:val="22"/>
                <w:szCs w:val="22"/>
              </w:rPr>
              <w:t>chi tiết và hướng dẫn một số điều của Nghị quyết số 254/2025/QH15 của Quốc hội quy định một số cơ chế, chính sách tháo gỡ</w:t>
            </w:r>
            <w:r w:rsidRPr="009109EC">
              <w:rPr>
                <w:sz w:val="22"/>
                <w:szCs w:val="22"/>
              </w:rPr>
              <w:t xml:space="preserve"> </w:t>
            </w:r>
            <w:r w:rsidRPr="009109EC">
              <w:rPr>
                <w:bCs/>
                <w:sz w:val="22"/>
                <w:szCs w:val="22"/>
              </w:rPr>
              <w:t>khó khăn, vướng mắc trong tổ chức thi hành Luật Đất đai;</w:t>
            </w:r>
          </w:p>
          <w:p w14:paraId="041FF6A7" w14:textId="608E952F" w:rsidR="009109EC" w:rsidRPr="009109EC" w:rsidRDefault="009109EC" w:rsidP="009109EC">
            <w:pPr>
              <w:spacing w:after="120"/>
              <w:jc w:val="both"/>
              <w:rPr>
                <w:sz w:val="22"/>
                <w:szCs w:val="22"/>
              </w:rPr>
            </w:pPr>
            <w:r>
              <w:rPr>
                <w:sz w:val="22"/>
                <w:szCs w:val="22"/>
              </w:rPr>
              <w:t xml:space="preserve">       </w:t>
            </w:r>
            <w:r w:rsidRPr="009109EC">
              <w:rPr>
                <w:sz w:val="22"/>
                <w:szCs w:val="22"/>
              </w:rPr>
              <w:t>Căn cứ Nghị định số 362/2025/NĐ-CP ngày 31/12/2025 của Chính phủ quy định chi tiết một số điều và biện pháp để tổ chức, hướng dẫn thi hành Luật phí và lệ phí;</w:t>
            </w:r>
          </w:p>
          <w:p w14:paraId="59460449" w14:textId="3ABAB5D2" w:rsidR="009109EC" w:rsidRPr="009109EC" w:rsidRDefault="009109EC" w:rsidP="009109EC">
            <w:pPr>
              <w:tabs>
                <w:tab w:val="left" w:pos="900"/>
              </w:tabs>
              <w:spacing w:after="120"/>
              <w:jc w:val="both"/>
              <w:rPr>
                <w:bCs/>
                <w:sz w:val="22"/>
                <w:szCs w:val="22"/>
                <w:lang w:val="pt-BR"/>
              </w:rPr>
            </w:pPr>
            <w:r>
              <w:rPr>
                <w:bCs/>
                <w:sz w:val="22"/>
                <w:szCs w:val="22"/>
                <w:lang w:val="pt-BR"/>
              </w:rPr>
              <w:t xml:space="preserve">        </w:t>
            </w:r>
            <w:r w:rsidRPr="009109EC">
              <w:rPr>
                <w:bCs/>
                <w:sz w:val="22"/>
                <w:szCs w:val="22"/>
                <w:lang w:val="pt-BR"/>
              </w:rPr>
              <w:t>Căn cứ Nghị định 18/2026/NĐ-CP ngày 14/1/2026 của Chính phủ sửa đổi, bổ dung một số Nghị định để cắt giảm, đơn giản hóa thủ tục hành chính, điều kiện kinh doanh thuộc phạm vi quản lý của Bộ Tư pháp;</w:t>
            </w:r>
          </w:p>
          <w:p w14:paraId="6E1F5762" w14:textId="47A916BB" w:rsidR="009109EC" w:rsidRPr="009109EC" w:rsidRDefault="009109EC" w:rsidP="009109EC">
            <w:pPr>
              <w:jc w:val="both"/>
              <w:rPr>
                <w:sz w:val="22"/>
                <w:szCs w:val="22"/>
              </w:rPr>
            </w:pPr>
            <w:r>
              <w:rPr>
                <w:sz w:val="22"/>
                <w:szCs w:val="22"/>
              </w:rPr>
              <w:t xml:space="preserve">        </w:t>
            </w:r>
            <w:r w:rsidRPr="009109EC">
              <w:rPr>
                <w:sz w:val="22"/>
                <w:szCs w:val="22"/>
              </w:rPr>
              <w:t>Căn cứ Nghị định 120/2016/NĐ-CP ngày 23 tháng 8 năm 2016 của Chính phủ quy định chi tiết và hướng dẫn thi hành một số điều của Luật Phí và lệ phí;</w:t>
            </w:r>
          </w:p>
          <w:p w14:paraId="436835E6" w14:textId="3C2A1C56" w:rsidR="009109EC" w:rsidRPr="009109EC" w:rsidRDefault="009109EC" w:rsidP="009109EC">
            <w:pPr>
              <w:jc w:val="both"/>
              <w:rPr>
                <w:sz w:val="22"/>
                <w:szCs w:val="22"/>
              </w:rPr>
            </w:pPr>
            <w:r>
              <w:rPr>
                <w:sz w:val="22"/>
                <w:szCs w:val="22"/>
              </w:rPr>
              <w:t xml:space="preserve">        </w:t>
            </w:r>
            <w:r w:rsidRPr="009109EC">
              <w:rPr>
                <w:sz w:val="22"/>
                <w:szCs w:val="22"/>
              </w:rPr>
              <w:t>Căn cứ Nghị định 82/2023/NĐ-CP ngày 28 tháng 11 năm 2023 của Chính phủ sửa đổi, bổ sung một số điều của Nghị định số 120/2016/NĐ-CP;</w:t>
            </w:r>
          </w:p>
          <w:p w14:paraId="0FE89698" w14:textId="685356C3" w:rsidR="009109EC" w:rsidRPr="009109EC" w:rsidRDefault="009109EC" w:rsidP="009109EC">
            <w:pPr>
              <w:jc w:val="both"/>
              <w:rPr>
                <w:sz w:val="22"/>
                <w:szCs w:val="22"/>
              </w:rPr>
            </w:pPr>
            <w:r>
              <w:rPr>
                <w:sz w:val="22"/>
                <w:szCs w:val="22"/>
              </w:rPr>
              <w:t xml:space="preserve">        </w:t>
            </w:r>
            <w:r w:rsidRPr="009109EC">
              <w:rPr>
                <w:sz w:val="22"/>
                <w:szCs w:val="22"/>
              </w:rPr>
              <w:t>Căn cứ Nghị định 102/2024/NĐ-CP ngày 30 tháng 7 năm 2024 của Chính phủ quy định chi tiết thi hành một số điều của Luật Đất đai;</w:t>
            </w:r>
          </w:p>
          <w:p w14:paraId="68E5F71E" w14:textId="5E5F7D11" w:rsidR="009109EC" w:rsidRPr="009109EC" w:rsidRDefault="009109EC" w:rsidP="009109EC">
            <w:pPr>
              <w:jc w:val="both"/>
              <w:rPr>
                <w:sz w:val="22"/>
                <w:szCs w:val="22"/>
              </w:rPr>
            </w:pPr>
            <w:r>
              <w:rPr>
                <w:sz w:val="22"/>
                <w:szCs w:val="22"/>
              </w:rPr>
              <w:t xml:space="preserve">        </w:t>
            </w:r>
            <w:r w:rsidRPr="009109EC">
              <w:rPr>
                <w:sz w:val="22"/>
                <w:szCs w:val="22"/>
              </w:rPr>
              <w:t>Căn cứ Nghị định 73/2024/NĐ-CP ngày 30 tháng 6 năm 2024 của Chính phủ quy định mức lương cơ sở đối với cán bộ, công chức, viên chức và lực lượng vũ trang;</w:t>
            </w:r>
          </w:p>
          <w:p w14:paraId="5946390D" w14:textId="59E948EB" w:rsidR="009109EC" w:rsidRPr="009109EC" w:rsidRDefault="009109EC" w:rsidP="009109EC">
            <w:pPr>
              <w:jc w:val="both"/>
              <w:rPr>
                <w:sz w:val="22"/>
                <w:szCs w:val="22"/>
              </w:rPr>
            </w:pPr>
            <w:r>
              <w:rPr>
                <w:sz w:val="22"/>
                <w:szCs w:val="22"/>
              </w:rPr>
              <w:t xml:space="preserve">        </w:t>
            </w:r>
            <w:r w:rsidRPr="009109EC">
              <w:rPr>
                <w:sz w:val="22"/>
                <w:szCs w:val="22"/>
              </w:rPr>
              <w:t xml:space="preserve">Căn cứ Nghị định 362/2025/NĐ-CP ngày 31 tháng 12 năm 2025 của Chính phủ quy định chi tiết </w:t>
            </w:r>
            <w:r w:rsidRPr="009109EC">
              <w:rPr>
                <w:sz w:val="22"/>
                <w:szCs w:val="22"/>
              </w:rPr>
              <w:lastRenderedPageBreak/>
              <w:t>một số điều và biện pháp để tổ chức, hướng dẫn thi hành Luật Phí và lệ phí;</w:t>
            </w:r>
          </w:p>
          <w:p w14:paraId="76078AED" w14:textId="1EC17EFD" w:rsidR="009109EC" w:rsidRPr="009109EC" w:rsidRDefault="009109EC" w:rsidP="009109EC">
            <w:pPr>
              <w:jc w:val="both"/>
              <w:rPr>
                <w:sz w:val="22"/>
                <w:szCs w:val="22"/>
              </w:rPr>
            </w:pPr>
            <w:r>
              <w:rPr>
                <w:sz w:val="22"/>
                <w:szCs w:val="22"/>
              </w:rPr>
              <w:t xml:space="preserve">        </w:t>
            </w:r>
            <w:r w:rsidRPr="009109EC">
              <w:rPr>
                <w:sz w:val="22"/>
                <w:szCs w:val="22"/>
              </w:rPr>
              <w:t>Căn cứ Thông tư 10/2024/TT-BTNMT ngày 31 tháng 7 năm 2024 của Bộ trưởng Bộ Tài nguyên và Môi trường quy định về hồ sơ địa chính, Giấy chứng nhận quyền sử dụng đất, quyền sở hữu tài sản gắn liền với đất;</w:t>
            </w:r>
          </w:p>
          <w:p w14:paraId="1A6992D2" w14:textId="60EBA512" w:rsidR="009109EC" w:rsidRPr="009109EC" w:rsidRDefault="009109EC" w:rsidP="009109EC">
            <w:pPr>
              <w:jc w:val="both"/>
              <w:rPr>
                <w:sz w:val="22"/>
                <w:szCs w:val="22"/>
              </w:rPr>
            </w:pPr>
            <w:r>
              <w:rPr>
                <w:sz w:val="22"/>
                <w:szCs w:val="22"/>
              </w:rPr>
              <w:t xml:space="preserve">        </w:t>
            </w:r>
            <w:r w:rsidRPr="009109EC">
              <w:rPr>
                <w:sz w:val="22"/>
                <w:szCs w:val="22"/>
              </w:rPr>
              <w:t>Căn cứ Thông tư 85/2019/TT-BTC ngày 29 tháng 11 năm 2019 của Bộ trưởng Bộ Tài chính hướng dẫn về phí và lệ phí thuộc thẩm quyền quyết định của Hội đồng nhân dân tỉnh, thành phố trực thuộc Trung ương;</w:t>
            </w:r>
          </w:p>
          <w:p w14:paraId="5F324B58" w14:textId="32BDDD28" w:rsidR="009109EC" w:rsidRPr="009109EC" w:rsidRDefault="009109EC" w:rsidP="009109EC">
            <w:pPr>
              <w:jc w:val="both"/>
              <w:rPr>
                <w:sz w:val="22"/>
                <w:szCs w:val="22"/>
              </w:rPr>
            </w:pPr>
            <w:r>
              <w:rPr>
                <w:sz w:val="22"/>
                <w:szCs w:val="22"/>
              </w:rPr>
              <w:t xml:space="preserve">        </w:t>
            </w:r>
            <w:r w:rsidRPr="009109EC">
              <w:rPr>
                <w:sz w:val="22"/>
                <w:szCs w:val="22"/>
              </w:rPr>
              <w:t>Căn cứ Thông tư 106/2021/TT-BTC ngày 26 tháng 11 năm 2021 của Bộ trưởng Bộ Tài chính sửa đổi, bổ sung một số điều của Thông tư số 85/2019/TT-BTC</w:t>
            </w:r>
            <w:r>
              <w:rPr>
                <w:sz w:val="22"/>
                <w:szCs w:val="22"/>
              </w:rPr>
              <w:t>.</w:t>
            </w:r>
          </w:p>
          <w:p w14:paraId="27EF7C34" w14:textId="4C6047E4" w:rsidR="00C603E8" w:rsidRPr="009109EC" w:rsidRDefault="00C603E8" w:rsidP="00C603E8">
            <w:pPr>
              <w:spacing w:before="120" w:line="252" w:lineRule="auto"/>
              <w:ind w:right="142" w:firstLine="426"/>
              <w:jc w:val="both"/>
              <w:rPr>
                <w:sz w:val="22"/>
                <w:szCs w:val="22"/>
              </w:rPr>
            </w:pPr>
          </w:p>
        </w:tc>
        <w:tc>
          <w:tcPr>
            <w:tcW w:w="1021" w:type="pct"/>
            <w:shd w:val="clear" w:color="auto" w:fill="FFFFFF"/>
            <w:vAlign w:val="center"/>
          </w:tcPr>
          <w:p w14:paraId="2830D49C" w14:textId="3209BDD8" w:rsidR="00C603E8" w:rsidRPr="00B45621" w:rsidRDefault="00C603E8" w:rsidP="00C603E8">
            <w:pPr>
              <w:spacing w:before="60" w:after="60"/>
              <w:ind w:left="134" w:right="138"/>
              <w:jc w:val="both"/>
              <w:rPr>
                <w:rFonts w:asciiTheme="majorHAnsi" w:hAnsiTheme="majorHAnsi" w:cstheme="majorHAnsi"/>
                <w:sz w:val="22"/>
                <w:szCs w:val="22"/>
              </w:rPr>
            </w:pPr>
            <w:r w:rsidRPr="00B45621">
              <w:rPr>
                <w:rFonts w:asciiTheme="majorHAnsi" w:hAnsiTheme="majorHAnsi" w:cstheme="majorHAnsi"/>
                <w:sz w:val="22"/>
                <w:szCs w:val="22"/>
              </w:rPr>
              <w:lastRenderedPageBreak/>
              <w:t xml:space="preserve">Cơ quan soạn thảo đã rà soát các quy định pháp luật và cập nhật vào hồ sơ dự thảo Nghị quyết theo quy định mới, cụ thể: </w:t>
            </w:r>
          </w:p>
          <w:p w14:paraId="297CAC89" w14:textId="3AC4D40C" w:rsidR="00C603E8" w:rsidRPr="00B45621" w:rsidRDefault="00C603E8" w:rsidP="00C603E8">
            <w:pPr>
              <w:spacing w:before="60" w:after="60"/>
              <w:ind w:left="134" w:right="138"/>
              <w:jc w:val="both"/>
              <w:rPr>
                <w:rFonts w:asciiTheme="majorHAnsi" w:hAnsiTheme="majorHAnsi" w:cstheme="majorHAnsi"/>
                <w:sz w:val="22"/>
                <w:szCs w:val="22"/>
              </w:rPr>
            </w:pPr>
            <w:r w:rsidRPr="00B45621">
              <w:rPr>
                <w:rFonts w:asciiTheme="majorHAnsi" w:hAnsiTheme="majorHAnsi" w:cstheme="majorHAnsi"/>
                <w:sz w:val="22"/>
                <w:szCs w:val="22"/>
              </w:rPr>
              <w:t xml:space="preserve">Bố cục, nội dung của </w:t>
            </w:r>
            <w:r w:rsidRPr="00B45621">
              <w:rPr>
                <w:rFonts w:asciiTheme="majorHAnsi" w:hAnsiTheme="majorHAnsi" w:cstheme="majorHAnsi"/>
                <w:b/>
                <w:bCs/>
                <w:sz w:val="22"/>
                <w:szCs w:val="22"/>
              </w:rPr>
              <w:t>Nghị quyết theo Mẫu số 17</w:t>
            </w:r>
            <w:r w:rsidRPr="00B45621">
              <w:rPr>
                <w:rFonts w:asciiTheme="majorHAnsi" w:hAnsiTheme="majorHAnsi" w:cstheme="majorHAnsi"/>
                <w:sz w:val="22"/>
                <w:szCs w:val="22"/>
              </w:rPr>
              <w:t xml:space="preserve"> Phụ lục III Ban hành kèm theo Nghị định số 187/2025/NĐ-CP,</w:t>
            </w:r>
            <w:r w:rsidRPr="00B45621">
              <w:rPr>
                <w:bCs/>
                <w:sz w:val="24"/>
                <w:szCs w:val="24"/>
              </w:rPr>
              <w:t xml:space="preserve"> đề án đánh giá theo quy định của  </w:t>
            </w:r>
            <w:r w:rsidRPr="00B45621">
              <w:rPr>
                <w:iCs/>
                <w:sz w:val="22"/>
                <w:szCs w:val="22"/>
              </w:rPr>
              <w:t xml:space="preserve">Luật Ban hành văn bản quy phạm pháp luật </w:t>
            </w:r>
            <w:r w:rsidRPr="00B45621">
              <w:rPr>
                <w:iCs/>
                <w:sz w:val="22"/>
                <w:szCs w:val="22"/>
              </w:rPr>
              <w:lastRenderedPageBreak/>
              <w:t>số 64/2025/QH15 và văn bản hướng dẫn thi hanh luật (nêu lý do xây dựng lại Nghị quyết: Sáp nhập 2 tỉnh việc thống nhất mức phí, quản lý, sử dụng phí trên địa bàn tỉnh Đồng Nai mới là cần thiết và chi tiết tại khoản 2 Mục I Đề án và khoản 1 và 2 Mục I của Tờ trình (Căn cứ pháp lý, sự  cần thiết và cơ sở thực tiễn)</w:t>
            </w:r>
          </w:p>
        </w:tc>
      </w:tr>
      <w:tr w:rsidR="00C603E8" w:rsidRPr="00B45621" w14:paraId="1C67DEDC" w14:textId="77777777" w:rsidTr="00897582">
        <w:tc>
          <w:tcPr>
            <w:tcW w:w="2546" w:type="pct"/>
            <w:gridSpan w:val="3"/>
            <w:shd w:val="clear" w:color="auto" w:fill="FFFFFF"/>
          </w:tcPr>
          <w:p w14:paraId="78E9DE1D" w14:textId="3961C2DF" w:rsidR="00C603E8" w:rsidRPr="00B45621" w:rsidRDefault="00C603E8" w:rsidP="00C603E8">
            <w:pPr>
              <w:ind w:right="141"/>
              <w:jc w:val="both"/>
              <w:rPr>
                <w:rFonts w:asciiTheme="majorHAnsi" w:hAnsiTheme="majorHAnsi" w:cstheme="majorHAnsi"/>
                <w:b/>
                <w:sz w:val="22"/>
                <w:szCs w:val="22"/>
              </w:rPr>
            </w:pPr>
            <w:r w:rsidRPr="00B45621">
              <w:rPr>
                <w:rFonts w:asciiTheme="majorHAnsi" w:hAnsiTheme="majorHAnsi" w:cstheme="majorHAnsi"/>
                <w:b/>
                <w:sz w:val="22"/>
                <w:szCs w:val="22"/>
              </w:rPr>
              <w:lastRenderedPageBreak/>
              <w:t>II. Nghị quyết tỉnh Bình Phước cũ</w:t>
            </w:r>
          </w:p>
          <w:p w14:paraId="6575F5A0" w14:textId="11EA2B9C" w:rsidR="00C603E8" w:rsidRPr="00B45621" w:rsidRDefault="00C603E8" w:rsidP="00C603E8">
            <w:pPr>
              <w:pStyle w:val="NormalWeb"/>
              <w:shd w:val="clear" w:color="auto" w:fill="FFFFFF"/>
              <w:spacing w:before="0" w:beforeAutospacing="0" w:after="0" w:afterAutospacing="0"/>
              <w:ind w:right="141"/>
              <w:jc w:val="both"/>
              <w:rPr>
                <w:rFonts w:asciiTheme="majorHAnsi" w:hAnsiTheme="majorHAnsi" w:cstheme="majorHAnsi"/>
                <w:b/>
                <w:bCs/>
                <w:sz w:val="22"/>
                <w:szCs w:val="22"/>
                <w:lang w:val="nl-NL"/>
              </w:rPr>
            </w:pPr>
            <w:r w:rsidRPr="00830436">
              <w:rPr>
                <w:rFonts w:asciiTheme="majorHAnsi" w:hAnsiTheme="majorHAnsi" w:cstheme="majorHAnsi"/>
                <w:bCs/>
                <w:i/>
                <w:iCs/>
                <w:sz w:val="22"/>
                <w:szCs w:val="22"/>
              </w:rPr>
              <w:t xml:space="preserve">(Nghị quyết số </w:t>
            </w:r>
            <w:r w:rsidR="00757CC6" w:rsidRPr="00830436">
              <w:rPr>
                <w:rFonts w:asciiTheme="majorHAnsi" w:hAnsiTheme="majorHAnsi" w:cstheme="majorHAnsi"/>
                <w:bCs/>
                <w:i/>
                <w:iCs/>
                <w:sz w:val="22"/>
                <w:szCs w:val="22"/>
              </w:rPr>
              <w:t>1</w:t>
            </w:r>
            <w:r w:rsidR="00E2764C">
              <w:rPr>
                <w:rFonts w:asciiTheme="majorHAnsi" w:hAnsiTheme="majorHAnsi" w:cstheme="majorHAnsi"/>
                <w:bCs/>
                <w:i/>
                <w:iCs/>
                <w:sz w:val="22"/>
                <w:szCs w:val="22"/>
              </w:rPr>
              <w:t>3</w:t>
            </w:r>
            <w:r w:rsidRPr="00830436">
              <w:rPr>
                <w:rFonts w:asciiTheme="majorHAnsi" w:hAnsiTheme="majorHAnsi" w:cstheme="majorHAnsi"/>
                <w:bCs/>
                <w:i/>
                <w:iCs/>
                <w:sz w:val="22"/>
                <w:szCs w:val="22"/>
              </w:rPr>
              <w:t>/20</w:t>
            </w:r>
            <w:r w:rsidR="00E2764C">
              <w:rPr>
                <w:rFonts w:asciiTheme="majorHAnsi" w:hAnsiTheme="majorHAnsi" w:cstheme="majorHAnsi"/>
                <w:bCs/>
                <w:i/>
                <w:iCs/>
                <w:sz w:val="22"/>
                <w:szCs w:val="22"/>
              </w:rPr>
              <w:t>5</w:t>
            </w:r>
            <w:r w:rsidR="00632256" w:rsidRPr="00830436">
              <w:rPr>
                <w:rFonts w:asciiTheme="majorHAnsi" w:hAnsiTheme="majorHAnsi" w:cstheme="majorHAnsi"/>
                <w:bCs/>
                <w:i/>
                <w:iCs/>
                <w:sz w:val="22"/>
                <w:szCs w:val="22"/>
              </w:rPr>
              <w:t>9</w:t>
            </w:r>
            <w:r w:rsidRPr="00830436">
              <w:rPr>
                <w:rFonts w:asciiTheme="majorHAnsi" w:hAnsiTheme="majorHAnsi" w:cstheme="majorHAnsi"/>
                <w:bCs/>
                <w:i/>
                <w:iCs/>
                <w:sz w:val="22"/>
                <w:szCs w:val="22"/>
              </w:rPr>
              <w:t xml:space="preserve">/NQ-HĐND ngày </w:t>
            </w:r>
            <w:r w:rsidR="00E2764C">
              <w:rPr>
                <w:rFonts w:asciiTheme="majorHAnsi" w:hAnsiTheme="majorHAnsi" w:cstheme="majorHAnsi"/>
                <w:bCs/>
                <w:i/>
                <w:iCs/>
                <w:sz w:val="22"/>
                <w:szCs w:val="22"/>
              </w:rPr>
              <w:t>14</w:t>
            </w:r>
            <w:r w:rsidR="00632256" w:rsidRPr="00830436">
              <w:rPr>
                <w:rFonts w:asciiTheme="majorHAnsi" w:hAnsiTheme="majorHAnsi" w:cstheme="majorHAnsi"/>
                <w:bCs/>
                <w:i/>
                <w:iCs/>
                <w:sz w:val="22"/>
                <w:szCs w:val="22"/>
              </w:rPr>
              <w:t>/</w:t>
            </w:r>
            <w:r w:rsidR="00E2764C">
              <w:rPr>
                <w:rFonts w:asciiTheme="majorHAnsi" w:hAnsiTheme="majorHAnsi" w:cstheme="majorHAnsi"/>
                <w:bCs/>
                <w:i/>
                <w:iCs/>
                <w:sz w:val="22"/>
                <w:szCs w:val="22"/>
              </w:rPr>
              <w:t>12</w:t>
            </w:r>
            <w:r w:rsidR="00632256" w:rsidRPr="00830436">
              <w:rPr>
                <w:rFonts w:asciiTheme="majorHAnsi" w:hAnsiTheme="majorHAnsi" w:cstheme="majorHAnsi"/>
                <w:bCs/>
                <w:i/>
                <w:iCs/>
                <w:sz w:val="22"/>
                <w:szCs w:val="22"/>
              </w:rPr>
              <w:t>/201</w:t>
            </w:r>
            <w:r w:rsidR="00E2764C">
              <w:rPr>
                <w:rFonts w:asciiTheme="majorHAnsi" w:hAnsiTheme="majorHAnsi" w:cstheme="majorHAnsi"/>
                <w:bCs/>
                <w:i/>
                <w:iCs/>
                <w:sz w:val="22"/>
                <w:szCs w:val="22"/>
              </w:rPr>
              <w:t>5</w:t>
            </w:r>
            <w:r w:rsidRPr="00830436">
              <w:rPr>
                <w:rFonts w:asciiTheme="majorHAnsi" w:hAnsiTheme="majorHAnsi" w:cstheme="majorHAnsi"/>
                <w:bCs/>
                <w:i/>
                <w:iCs/>
                <w:sz w:val="22"/>
                <w:szCs w:val="22"/>
              </w:rPr>
              <w:t>)</w:t>
            </w:r>
          </w:p>
        </w:tc>
        <w:tc>
          <w:tcPr>
            <w:tcW w:w="1433" w:type="pct"/>
            <w:shd w:val="clear" w:color="auto" w:fill="FFFFFF"/>
            <w:vAlign w:val="center"/>
          </w:tcPr>
          <w:p w14:paraId="795CF7E1" w14:textId="6C8454F8" w:rsidR="00C603E8" w:rsidRPr="00B45621" w:rsidRDefault="00C603E8" w:rsidP="00C603E8">
            <w:pPr>
              <w:spacing w:before="60" w:after="60"/>
              <w:ind w:right="142"/>
              <w:rPr>
                <w:rFonts w:asciiTheme="majorHAnsi" w:hAnsiTheme="majorHAnsi" w:cstheme="majorHAnsi"/>
                <w:sz w:val="22"/>
                <w:szCs w:val="22"/>
              </w:rPr>
            </w:pPr>
          </w:p>
        </w:tc>
        <w:tc>
          <w:tcPr>
            <w:tcW w:w="1021" w:type="pct"/>
            <w:shd w:val="clear" w:color="auto" w:fill="FFFFFF"/>
            <w:vAlign w:val="center"/>
          </w:tcPr>
          <w:p w14:paraId="7E9E5D22" w14:textId="5CF98C32" w:rsidR="00C603E8" w:rsidRPr="00B45621" w:rsidRDefault="00C603E8" w:rsidP="00C603E8">
            <w:pPr>
              <w:spacing w:before="60" w:after="60"/>
              <w:ind w:right="138"/>
              <w:rPr>
                <w:rFonts w:asciiTheme="majorHAnsi" w:hAnsiTheme="majorHAnsi" w:cstheme="majorHAnsi"/>
                <w:sz w:val="22"/>
                <w:szCs w:val="22"/>
              </w:rPr>
            </w:pPr>
          </w:p>
        </w:tc>
      </w:tr>
      <w:tr w:rsidR="009D7A48" w:rsidRPr="00B45621" w14:paraId="2DD2A819" w14:textId="77777777" w:rsidTr="00897582">
        <w:tc>
          <w:tcPr>
            <w:tcW w:w="227" w:type="pct"/>
            <w:shd w:val="clear" w:color="auto" w:fill="FFFFFF"/>
            <w:vAlign w:val="center"/>
          </w:tcPr>
          <w:p w14:paraId="59D3BD7A" w14:textId="60F8E464" w:rsidR="009D7A48" w:rsidRPr="00245AF1" w:rsidRDefault="009D7A48" w:rsidP="009D7A48">
            <w:pPr>
              <w:pStyle w:val="NormalWeb"/>
              <w:shd w:val="clear" w:color="auto" w:fill="FFFFFF"/>
              <w:spacing w:before="60" w:beforeAutospacing="0" w:after="60" w:afterAutospacing="0"/>
              <w:ind w:left="137"/>
              <w:jc w:val="center"/>
              <w:rPr>
                <w:rFonts w:asciiTheme="majorHAnsi" w:hAnsiTheme="majorHAnsi" w:cstheme="majorHAnsi"/>
                <w:bCs/>
                <w:sz w:val="22"/>
                <w:szCs w:val="22"/>
              </w:rPr>
            </w:pPr>
            <w:r w:rsidRPr="00245AF1">
              <w:rPr>
                <w:rFonts w:asciiTheme="majorHAnsi" w:hAnsiTheme="majorHAnsi" w:cstheme="majorHAnsi"/>
                <w:bCs/>
                <w:sz w:val="22"/>
                <w:szCs w:val="22"/>
              </w:rPr>
              <w:t>1</w:t>
            </w:r>
          </w:p>
        </w:tc>
        <w:tc>
          <w:tcPr>
            <w:tcW w:w="682" w:type="pct"/>
            <w:shd w:val="clear" w:color="auto" w:fill="FFFFFF"/>
            <w:vAlign w:val="center"/>
          </w:tcPr>
          <w:p w14:paraId="730BD9F9" w14:textId="1905DF04" w:rsidR="009D7A48" w:rsidRPr="00245AF1" w:rsidRDefault="009D7A48" w:rsidP="009D7A48">
            <w:pPr>
              <w:pStyle w:val="NormalWeb"/>
              <w:shd w:val="clear" w:color="auto" w:fill="FFFFFF"/>
              <w:spacing w:before="60" w:beforeAutospacing="0" w:after="60" w:afterAutospacing="0"/>
              <w:ind w:left="137"/>
              <w:rPr>
                <w:rFonts w:asciiTheme="majorHAnsi" w:hAnsiTheme="majorHAnsi" w:cstheme="majorHAnsi"/>
                <w:b/>
                <w:bCs/>
                <w:sz w:val="22"/>
                <w:szCs w:val="22"/>
                <w:shd w:val="clear" w:color="auto" w:fill="FFFFFF"/>
              </w:rPr>
            </w:pPr>
            <w:r w:rsidRPr="00245AF1">
              <w:rPr>
                <w:rFonts w:asciiTheme="majorHAnsi" w:hAnsiTheme="majorHAnsi" w:cstheme="majorHAnsi"/>
                <w:b/>
                <w:sz w:val="22"/>
                <w:szCs w:val="22"/>
              </w:rPr>
              <w:t>Phạm vi điều chỉnh</w:t>
            </w:r>
          </w:p>
        </w:tc>
        <w:tc>
          <w:tcPr>
            <w:tcW w:w="1637" w:type="pct"/>
            <w:shd w:val="clear" w:color="auto" w:fill="FFFFFF"/>
            <w:vAlign w:val="center"/>
          </w:tcPr>
          <w:p w14:paraId="34514A3E" w14:textId="2A4E108D" w:rsidR="009D7A48" w:rsidRPr="00245AF1" w:rsidRDefault="009D7A48" w:rsidP="009D7A48">
            <w:pPr>
              <w:ind w:left="79" w:right="141"/>
              <w:jc w:val="both"/>
              <w:rPr>
                <w:sz w:val="22"/>
                <w:szCs w:val="22"/>
              </w:rPr>
            </w:pPr>
            <w:r w:rsidRPr="00245AF1">
              <w:rPr>
                <w:rFonts w:asciiTheme="majorHAnsi" w:hAnsiTheme="majorHAnsi" w:cstheme="majorHAnsi"/>
                <w:sz w:val="22"/>
                <w:szCs w:val="22"/>
              </w:rPr>
              <w:t>Nghị quyết không đề cập</w:t>
            </w:r>
          </w:p>
        </w:tc>
        <w:tc>
          <w:tcPr>
            <w:tcW w:w="1433" w:type="pct"/>
            <w:shd w:val="clear" w:color="auto" w:fill="FFFFFF"/>
            <w:vAlign w:val="center"/>
          </w:tcPr>
          <w:p w14:paraId="2D9A058A" w14:textId="5C549ABF" w:rsidR="009D7A48" w:rsidRPr="009D7A48" w:rsidRDefault="009D7A48" w:rsidP="009D7A48">
            <w:pPr>
              <w:spacing w:before="120" w:after="120"/>
              <w:jc w:val="both"/>
              <w:rPr>
                <w:sz w:val="22"/>
                <w:szCs w:val="22"/>
                <w:lang w:eastAsia="zh-CN" w:bidi="ar"/>
              </w:rPr>
            </w:pPr>
            <w:r w:rsidRPr="00897582">
              <w:rPr>
                <w:spacing w:val="3"/>
                <w:sz w:val="22"/>
                <w:szCs w:val="22"/>
                <w:shd w:val="clear" w:color="auto" w:fill="FFFFFF"/>
              </w:rPr>
              <w:t xml:space="preserve">Nghị quyết này quy định mức thu, chế độ thu, nộp và quản lý </w:t>
            </w:r>
            <w:r w:rsidRPr="00897582">
              <w:rPr>
                <w:iCs/>
                <w:sz w:val="22"/>
                <w:szCs w:val="22"/>
              </w:rPr>
              <w:t xml:space="preserve">phí thẩm định hồ sơ cấp giấy chứng nhận quyền sử dụng đất lần đầu </w:t>
            </w:r>
            <w:r w:rsidRPr="00897582">
              <w:rPr>
                <w:iCs/>
                <w:sz w:val="22"/>
                <w:szCs w:val="22"/>
                <w:lang w:val="vi-VN"/>
              </w:rPr>
              <w:t xml:space="preserve">trên địa bàn tỉnh </w:t>
            </w:r>
            <w:r w:rsidRPr="00897582">
              <w:rPr>
                <w:iCs/>
                <w:sz w:val="22"/>
                <w:szCs w:val="22"/>
              </w:rPr>
              <w:t>Đ</w:t>
            </w:r>
            <w:r w:rsidRPr="00897582">
              <w:rPr>
                <w:iCs/>
                <w:sz w:val="22"/>
                <w:szCs w:val="22"/>
                <w:lang w:val="vi-VN"/>
              </w:rPr>
              <w:t xml:space="preserve">ồng </w:t>
            </w:r>
            <w:r w:rsidRPr="00897582">
              <w:rPr>
                <w:iCs/>
                <w:sz w:val="22"/>
                <w:szCs w:val="22"/>
              </w:rPr>
              <w:t>N</w:t>
            </w:r>
            <w:r w:rsidRPr="00897582">
              <w:rPr>
                <w:iCs/>
                <w:sz w:val="22"/>
                <w:szCs w:val="22"/>
                <w:lang w:val="vi-VN"/>
              </w:rPr>
              <w:t>ai</w:t>
            </w:r>
            <w:r w:rsidRPr="00897582">
              <w:rPr>
                <w:sz w:val="22"/>
                <w:szCs w:val="22"/>
                <w:lang w:eastAsia="zh-CN" w:bidi="ar"/>
              </w:rPr>
              <w:t>.</w:t>
            </w:r>
          </w:p>
        </w:tc>
        <w:tc>
          <w:tcPr>
            <w:tcW w:w="1021" w:type="pct"/>
            <w:shd w:val="clear" w:color="auto" w:fill="FFFFFF"/>
            <w:vAlign w:val="center"/>
          </w:tcPr>
          <w:p w14:paraId="08D350E2" w14:textId="38690E28" w:rsidR="009D7A48" w:rsidRPr="00830436" w:rsidRDefault="009D7A48" w:rsidP="009D7A48">
            <w:pPr>
              <w:spacing w:before="60" w:after="60"/>
              <w:ind w:right="138"/>
              <w:jc w:val="both"/>
              <w:rPr>
                <w:rFonts w:asciiTheme="majorHAnsi" w:hAnsiTheme="majorHAnsi" w:cstheme="majorHAnsi"/>
                <w:sz w:val="22"/>
                <w:szCs w:val="22"/>
              </w:rPr>
            </w:pPr>
            <w:r w:rsidRPr="00830436">
              <w:rPr>
                <w:rFonts w:asciiTheme="majorHAnsi" w:hAnsiTheme="majorHAnsi" w:cstheme="majorHAnsi"/>
                <w:bCs/>
                <w:sz w:val="22"/>
                <w:szCs w:val="22"/>
              </w:rPr>
              <w:t xml:space="preserve">Rà soát phù hợp quy định Luật đất đai năm 2024, </w:t>
            </w:r>
          </w:p>
        </w:tc>
      </w:tr>
      <w:tr w:rsidR="009D7A48" w:rsidRPr="00B45621" w14:paraId="1BFC4133" w14:textId="77777777" w:rsidTr="00897582">
        <w:tc>
          <w:tcPr>
            <w:tcW w:w="227" w:type="pct"/>
            <w:shd w:val="clear" w:color="auto" w:fill="FFFFFF"/>
            <w:vAlign w:val="center"/>
          </w:tcPr>
          <w:p w14:paraId="70819DB6" w14:textId="45A5E275" w:rsidR="009D7A48" w:rsidRPr="00245AF1" w:rsidRDefault="009D7A48" w:rsidP="009D7A48">
            <w:pPr>
              <w:pStyle w:val="NormalWeb"/>
              <w:shd w:val="clear" w:color="auto" w:fill="FFFFFF"/>
              <w:spacing w:before="60" w:beforeAutospacing="0" w:after="60" w:afterAutospacing="0"/>
              <w:ind w:left="137" w:right="63"/>
              <w:jc w:val="center"/>
              <w:rPr>
                <w:rFonts w:asciiTheme="majorHAnsi" w:hAnsiTheme="majorHAnsi" w:cstheme="majorHAnsi"/>
                <w:sz w:val="22"/>
                <w:szCs w:val="22"/>
              </w:rPr>
            </w:pPr>
            <w:r w:rsidRPr="00245AF1">
              <w:rPr>
                <w:rFonts w:asciiTheme="majorHAnsi" w:hAnsiTheme="majorHAnsi" w:cstheme="majorHAnsi"/>
                <w:sz w:val="22"/>
                <w:szCs w:val="22"/>
              </w:rPr>
              <w:t>2</w:t>
            </w:r>
          </w:p>
        </w:tc>
        <w:tc>
          <w:tcPr>
            <w:tcW w:w="682" w:type="pct"/>
            <w:shd w:val="clear" w:color="auto" w:fill="FFFFFF"/>
            <w:vAlign w:val="center"/>
          </w:tcPr>
          <w:p w14:paraId="6B4BDEB1" w14:textId="3F6E6F1F" w:rsidR="009D7A48" w:rsidRPr="00245AF1" w:rsidRDefault="009D7A48" w:rsidP="009D7A48">
            <w:pPr>
              <w:pStyle w:val="NormalWeb"/>
              <w:shd w:val="clear" w:color="auto" w:fill="FFFFFF"/>
              <w:spacing w:before="60" w:beforeAutospacing="0" w:after="60" w:afterAutospacing="0"/>
              <w:ind w:left="137" w:right="63"/>
              <w:rPr>
                <w:rFonts w:asciiTheme="majorHAnsi" w:hAnsiTheme="majorHAnsi" w:cstheme="majorHAnsi"/>
                <w:b/>
                <w:bCs/>
                <w:sz w:val="22"/>
                <w:szCs w:val="22"/>
              </w:rPr>
            </w:pPr>
            <w:r w:rsidRPr="00245AF1">
              <w:rPr>
                <w:b/>
                <w:bCs/>
                <w:sz w:val="22"/>
                <w:szCs w:val="22"/>
                <w:lang w:val="nl-NL"/>
              </w:rPr>
              <w:t>Đối tượng áp dụng</w:t>
            </w:r>
          </w:p>
        </w:tc>
        <w:tc>
          <w:tcPr>
            <w:tcW w:w="1637" w:type="pct"/>
            <w:shd w:val="clear" w:color="auto" w:fill="FFFFFF"/>
            <w:vAlign w:val="center"/>
          </w:tcPr>
          <w:p w14:paraId="1BD2E7F8" w14:textId="457CF344" w:rsidR="009D7A48" w:rsidRPr="00245AF1" w:rsidRDefault="009D7A48" w:rsidP="009D7A48">
            <w:pPr>
              <w:pStyle w:val="NormalWeb"/>
              <w:shd w:val="clear" w:color="auto" w:fill="FFFFFF"/>
              <w:spacing w:before="0" w:beforeAutospacing="0" w:after="0" w:afterAutospacing="0"/>
              <w:ind w:right="141"/>
              <w:jc w:val="both"/>
              <w:rPr>
                <w:rFonts w:asciiTheme="majorHAnsi" w:hAnsiTheme="majorHAnsi" w:cstheme="majorHAnsi"/>
                <w:sz w:val="22"/>
                <w:szCs w:val="22"/>
              </w:rPr>
            </w:pPr>
            <w:r w:rsidRPr="00245AF1">
              <w:rPr>
                <w:rFonts w:asciiTheme="majorHAnsi" w:hAnsiTheme="majorHAnsi" w:cstheme="majorHAnsi"/>
                <w:sz w:val="22"/>
                <w:szCs w:val="22"/>
              </w:rPr>
              <w:t>Nghị quyết không đề cập</w:t>
            </w:r>
          </w:p>
        </w:tc>
        <w:tc>
          <w:tcPr>
            <w:tcW w:w="1433" w:type="pct"/>
            <w:shd w:val="clear" w:color="auto" w:fill="FFFFFF"/>
            <w:vAlign w:val="center"/>
          </w:tcPr>
          <w:p w14:paraId="0519CE45" w14:textId="34C168FB" w:rsidR="009D7A48" w:rsidRPr="009D7A48" w:rsidRDefault="009D7A48" w:rsidP="009D7A48">
            <w:pPr>
              <w:spacing w:before="120" w:after="120"/>
              <w:jc w:val="both"/>
              <w:rPr>
                <w:sz w:val="22"/>
                <w:szCs w:val="22"/>
                <w:lang w:eastAsia="zh-CN" w:bidi="ar"/>
              </w:rPr>
            </w:pPr>
            <w:r w:rsidRPr="005E662B">
              <w:rPr>
                <w:sz w:val="22"/>
                <w:szCs w:val="22"/>
                <w:lang w:eastAsia="x-none"/>
              </w:rPr>
              <w:t xml:space="preserve">Tổ chức, cá nhân liên quan đến thu, nộp, quản lý và sử dụng </w:t>
            </w:r>
            <w:r w:rsidRPr="00897582">
              <w:rPr>
                <w:iCs/>
                <w:sz w:val="22"/>
                <w:szCs w:val="22"/>
              </w:rPr>
              <w:t xml:space="preserve">phí thẩm định hồ sơ cấp giấy chứng nhận quyền sử dụng đất lần đầu </w:t>
            </w:r>
            <w:r w:rsidRPr="00897582">
              <w:rPr>
                <w:iCs/>
                <w:sz w:val="22"/>
                <w:szCs w:val="22"/>
                <w:lang w:val="vi-VN"/>
              </w:rPr>
              <w:t xml:space="preserve">trên địa bàn tỉnh </w:t>
            </w:r>
            <w:r w:rsidRPr="00897582">
              <w:rPr>
                <w:iCs/>
                <w:sz w:val="22"/>
                <w:szCs w:val="22"/>
              </w:rPr>
              <w:t>Đ</w:t>
            </w:r>
            <w:r w:rsidRPr="00897582">
              <w:rPr>
                <w:iCs/>
                <w:sz w:val="22"/>
                <w:szCs w:val="22"/>
                <w:lang w:val="vi-VN"/>
              </w:rPr>
              <w:t xml:space="preserve">ồng </w:t>
            </w:r>
            <w:r w:rsidRPr="00897582">
              <w:rPr>
                <w:iCs/>
                <w:sz w:val="22"/>
                <w:szCs w:val="22"/>
              </w:rPr>
              <w:t>N</w:t>
            </w:r>
            <w:r w:rsidRPr="00897582">
              <w:rPr>
                <w:iCs/>
                <w:sz w:val="22"/>
                <w:szCs w:val="22"/>
                <w:lang w:val="vi-VN"/>
              </w:rPr>
              <w:t>ai</w:t>
            </w:r>
            <w:r w:rsidRPr="00897582">
              <w:rPr>
                <w:sz w:val="22"/>
                <w:szCs w:val="22"/>
                <w:lang w:eastAsia="zh-CN" w:bidi="ar"/>
              </w:rPr>
              <w:t>.</w:t>
            </w:r>
          </w:p>
        </w:tc>
        <w:tc>
          <w:tcPr>
            <w:tcW w:w="1021" w:type="pct"/>
            <w:shd w:val="clear" w:color="auto" w:fill="FFFFFF"/>
            <w:vAlign w:val="center"/>
          </w:tcPr>
          <w:p w14:paraId="4A0AD0E2" w14:textId="3150EBF9" w:rsidR="009D7A48" w:rsidRPr="00830436" w:rsidRDefault="009D7A48" w:rsidP="009D7A48">
            <w:pPr>
              <w:spacing w:before="60" w:after="60"/>
              <w:ind w:right="138"/>
              <w:jc w:val="both"/>
              <w:rPr>
                <w:rFonts w:asciiTheme="majorHAnsi" w:hAnsiTheme="majorHAnsi" w:cstheme="majorHAnsi"/>
                <w:sz w:val="22"/>
                <w:szCs w:val="22"/>
              </w:rPr>
            </w:pPr>
            <w:r w:rsidRPr="00830436">
              <w:rPr>
                <w:rFonts w:asciiTheme="majorHAnsi" w:hAnsiTheme="majorHAnsi" w:cstheme="majorHAnsi"/>
                <w:bCs/>
                <w:sz w:val="22"/>
                <w:szCs w:val="22"/>
              </w:rPr>
              <w:t xml:space="preserve">Rà soát phù hợp quy định Luật đất đai năm 2024, </w:t>
            </w:r>
          </w:p>
        </w:tc>
      </w:tr>
      <w:tr w:rsidR="009D7A48" w:rsidRPr="00B45621" w14:paraId="608A0AE7" w14:textId="77777777" w:rsidTr="00897582">
        <w:tc>
          <w:tcPr>
            <w:tcW w:w="227" w:type="pct"/>
            <w:shd w:val="clear" w:color="auto" w:fill="FFFFFF"/>
            <w:vAlign w:val="center"/>
          </w:tcPr>
          <w:p w14:paraId="1B647EC7" w14:textId="2DD7592C" w:rsidR="009D7A48" w:rsidRPr="00245AF1" w:rsidRDefault="009D7A48" w:rsidP="009D7A48">
            <w:pPr>
              <w:pStyle w:val="NormalWeb"/>
              <w:shd w:val="clear" w:color="auto" w:fill="FFFFFF"/>
              <w:spacing w:before="60" w:beforeAutospacing="0" w:after="60" w:afterAutospacing="0"/>
              <w:jc w:val="center"/>
              <w:rPr>
                <w:rFonts w:asciiTheme="majorHAnsi" w:hAnsiTheme="majorHAnsi" w:cstheme="majorHAnsi"/>
                <w:sz w:val="22"/>
                <w:szCs w:val="22"/>
              </w:rPr>
            </w:pPr>
            <w:r w:rsidRPr="00245AF1">
              <w:rPr>
                <w:rFonts w:asciiTheme="majorHAnsi" w:hAnsiTheme="majorHAnsi" w:cstheme="majorHAnsi"/>
                <w:sz w:val="22"/>
                <w:szCs w:val="22"/>
              </w:rPr>
              <w:t>3</w:t>
            </w:r>
          </w:p>
        </w:tc>
        <w:tc>
          <w:tcPr>
            <w:tcW w:w="682" w:type="pct"/>
            <w:shd w:val="clear" w:color="auto" w:fill="FFFFFF"/>
            <w:vAlign w:val="center"/>
          </w:tcPr>
          <w:p w14:paraId="39B1C45E" w14:textId="359E6065" w:rsidR="009D7A48" w:rsidRPr="00245AF1" w:rsidRDefault="009D7A48" w:rsidP="009D7A48">
            <w:pPr>
              <w:pStyle w:val="NormalWeb"/>
              <w:shd w:val="clear" w:color="auto" w:fill="FFFFFF"/>
              <w:spacing w:before="60" w:beforeAutospacing="0" w:after="60" w:afterAutospacing="0"/>
              <w:ind w:left="141"/>
              <w:rPr>
                <w:rFonts w:asciiTheme="majorHAnsi" w:hAnsiTheme="majorHAnsi" w:cstheme="majorHAnsi"/>
                <w:b/>
                <w:bCs/>
                <w:sz w:val="22"/>
                <w:szCs w:val="22"/>
              </w:rPr>
            </w:pPr>
            <w:r w:rsidRPr="00245AF1">
              <w:rPr>
                <w:rFonts w:asciiTheme="majorHAnsi" w:hAnsiTheme="majorHAnsi" w:cstheme="majorHAnsi"/>
                <w:b/>
                <w:bCs/>
                <w:sz w:val="22"/>
                <w:szCs w:val="22"/>
              </w:rPr>
              <w:t>Đối tượng miễn nộp phí</w:t>
            </w:r>
          </w:p>
        </w:tc>
        <w:tc>
          <w:tcPr>
            <w:tcW w:w="1637" w:type="pct"/>
            <w:shd w:val="clear" w:color="auto" w:fill="FFFFFF"/>
            <w:vAlign w:val="center"/>
          </w:tcPr>
          <w:p w14:paraId="0AF79333" w14:textId="2F963DBA" w:rsidR="009D7A48" w:rsidRPr="00245AF1" w:rsidRDefault="009D7A48" w:rsidP="009D7A48">
            <w:pPr>
              <w:pStyle w:val="NormalWeb"/>
              <w:shd w:val="clear" w:color="auto" w:fill="FFFFFF"/>
              <w:spacing w:before="0" w:beforeAutospacing="0" w:after="0" w:afterAutospacing="0"/>
              <w:ind w:right="141"/>
              <w:jc w:val="both"/>
              <w:rPr>
                <w:rFonts w:asciiTheme="majorHAnsi" w:hAnsiTheme="majorHAnsi" w:cstheme="majorHAnsi"/>
                <w:sz w:val="22"/>
                <w:szCs w:val="22"/>
              </w:rPr>
            </w:pPr>
            <w:r w:rsidRPr="00245AF1">
              <w:rPr>
                <w:rFonts w:asciiTheme="majorHAnsi" w:hAnsiTheme="majorHAnsi" w:cstheme="majorHAnsi"/>
                <w:sz w:val="22"/>
                <w:szCs w:val="22"/>
              </w:rPr>
              <w:t xml:space="preserve">Nghị quyết không đề cập </w:t>
            </w:r>
          </w:p>
        </w:tc>
        <w:tc>
          <w:tcPr>
            <w:tcW w:w="1433" w:type="pct"/>
            <w:shd w:val="clear" w:color="auto" w:fill="FFFFFF"/>
            <w:vAlign w:val="center"/>
          </w:tcPr>
          <w:p w14:paraId="1195ACBF" w14:textId="77777777" w:rsidR="009D7A48" w:rsidRPr="00B45621" w:rsidRDefault="009D7A48" w:rsidP="009D7A48">
            <w:pPr>
              <w:spacing w:before="120" w:after="120"/>
              <w:ind w:right="142" w:firstLine="143"/>
              <w:jc w:val="both"/>
              <w:rPr>
                <w:spacing w:val="3"/>
                <w:sz w:val="22"/>
                <w:szCs w:val="22"/>
                <w:shd w:val="clear" w:color="auto" w:fill="FFFFFF"/>
              </w:rPr>
            </w:pPr>
            <w:r w:rsidRPr="00B45621">
              <w:rPr>
                <w:spacing w:val="3"/>
                <w:sz w:val="22"/>
                <w:szCs w:val="22"/>
                <w:shd w:val="clear" w:color="auto" w:fill="FFFFFF"/>
              </w:rPr>
              <w:t>a) Các hộ nghèo;</w:t>
            </w:r>
          </w:p>
          <w:p w14:paraId="3610DB60" w14:textId="77777777" w:rsidR="009D7A48" w:rsidRPr="00B45621" w:rsidRDefault="009D7A48" w:rsidP="009D7A48">
            <w:pPr>
              <w:spacing w:before="120" w:after="120"/>
              <w:ind w:right="142" w:firstLine="143"/>
              <w:jc w:val="both"/>
              <w:rPr>
                <w:spacing w:val="3"/>
                <w:sz w:val="22"/>
                <w:szCs w:val="22"/>
                <w:shd w:val="clear" w:color="auto" w:fill="FFFFFF"/>
              </w:rPr>
            </w:pPr>
            <w:r w:rsidRPr="00B45621">
              <w:rPr>
                <w:spacing w:val="3"/>
                <w:sz w:val="22"/>
                <w:szCs w:val="22"/>
                <w:shd w:val="clear" w:color="auto" w:fill="FFFFFF"/>
              </w:rPr>
              <w:t>b) Người cao tuổi;</w:t>
            </w:r>
          </w:p>
          <w:p w14:paraId="3FBCD05C" w14:textId="77777777" w:rsidR="009D7A48" w:rsidRPr="00B45621" w:rsidRDefault="009D7A48" w:rsidP="009D7A48">
            <w:pPr>
              <w:spacing w:before="120" w:after="120"/>
              <w:ind w:right="142" w:firstLine="143"/>
              <w:jc w:val="both"/>
              <w:rPr>
                <w:spacing w:val="3"/>
                <w:sz w:val="22"/>
                <w:szCs w:val="22"/>
                <w:shd w:val="clear" w:color="auto" w:fill="FFFFFF"/>
              </w:rPr>
            </w:pPr>
            <w:r w:rsidRPr="00B45621">
              <w:rPr>
                <w:spacing w:val="3"/>
                <w:sz w:val="22"/>
                <w:szCs w:val="22"/>
                <w:shd w:val="clear" w:color="auto" w:fill="FFFFFF"/>
              </w:rPr>
              <w:t>c) Người khuyết tật;</w:t>
            </w:r>
          </w:p>
          <w:p w14:paraId="49923522" w14:textId="77777777" w:rsidR="009D7A48" w:rsidRPr="00B45621" w:rsidRDefault="009D7A48" w:rsidP="009D7A48">
            <w:pPr>
              <w:spacing w:before="120" w:after="120"/>
              <w:ind w:right="142" w:firstLine="143"/>
              <w:jc w:val="both"/>
              <w:rPr>
                <w:spacing w:val="3"/>
                <w:sz w:val="22"/>
                <w:szCs w:val="22"/>
                <w:shd w:val="clear" w:color="auto" w:fill="FFFFFF"/>
              </w:rPr>
            </w:pPr>
            <w:r w:rsidRPr="00B45621">
              <w:rPr>
                <w:spacing w:val="3"/>
                <w:sz w:val="22"/>
                <w:szCs w:val="22"/>
                <w:shd w:val="clear" w:color="auto" w:fill="FFFFFF"/>
              </w:rPr>
              <w:t>d) Người có công với cách mạng;</w:t>
            </w:r>
          </w:p>
          <w:p w14:paraId="56D6D2B5" w14:textId="090D3FC8" w:rsidR="009D7A48" w:rsidRPr="00757CC6" w:rsidRDefault="009D7A48" w:rsidP="009D7A48">
            <w:pPr>
              <w:spacing w:before="60" w:after="60"/>
              <w:ind w:left="65" w:right="142"/>
              <w:jc w:val="both"/>
              <w:rPr>
                <w:rFonts w:asciiTheme="majorHAnsi" w:hAnsiTheme="majorHAnsi" w:cstheme="majorHAnsi"/>
                <w:sz w:val="22"/>
                <w:szCs w:val="22"/>
                <w:highlight w:val="yellow"/>
              </w:rPr>
            </w:pPr>
            <w:r w:rsidRPr="00B45621">
              <w:rPr>
                <w:spacing w:val="3"/>
                <w:sz w:val="22"/>
                <w:szCs w:val="22"/>
                <w:shd w:val="clear" w:color="auto" w:fill="FFFFFF"/>
              </w:rPr>
              <w:lastRenderedPageBreak/>
              <w:t>e) Đồng bào dân tộc thiểu số ở các xã có điều kiện kinh tế - xã hội đặc biệt khó khăn;</w:t>
            </w:r>
          </w:p>
        </w:tc>
        <w:tc>
          <w:tcPr>
            <w:tcW w:w="1021" w:type="pct"/>
            <w:shd w:val="clear" w:color="auto" w:fill="FFFFFF"/>
            <w:vAlign w:val="center"/>
          </w:tcPr>
          <w:p w14:paraId="0A5E5907" w14:textId="520FA0EB" w:rsidR="009D7A48" w:rsidRPr="00830436" w:rsidRDefault="009D7A48" w:rsidP="009D7A48">
            <w:pPr>
              <w:spacing w:before="60" w:after="60"/>
              <w:ind w:right="138"/>
              <w:jc w:val="both"/>
              <w:rPr>
                <w:rFonts w:asciiTheme="majorHAnsi" w:hAnsiTheme="majorHAnsi" w:cstheme="majorHAnsi"/>
                <w:color w:val="EE0000"/>
                <w:sz w:val="22"/>
                <w:szCs w:val="22"/>
              </w:rPr>
            </w:pPr>
            <w:r w:rsidRPr="00830436">
              <w:rPr>
                <w:rFonts w:asciiTheme="majorHAnsi" w:hAnsiTheme="majorHAnsi" w:cstheme="majorHAnsi"/>
                <w:color w:val="000000" w:themeColor="text1"/>
                <w:sz w:val="22"/>
                <w:szCs w:val="22"/>
              </w:rPr>
              <w:lastRenderedPageBreak/>
              <w:t>Rà soát phù hợp với  Điều 10</w:t>
            </w:r>
            <w:hyperlink r:id="rId21" w:tgtFrame="_blank" w:history="1">
              <w:r w:rsidRPr="00830436">
                <w:rPr>
                  <w:color w:val="000000" w:themeColor="text1"/>
                  <w:sz w:val="22"/>
                  <w:szCs w:val="22"/>
                </w:rPr>
                <w:t> Luật Phí và lệ phí 2015</w:t>
              </w:r>
            </w:hyperlink>
          </w:p>
        </w:tc>
      </w:tr>
      <w:tr w:rsidR="00BB2E2F" w:rsidRPr="00B45621" w14:paraId="60413436" w14:textId="77777777" w:rsidTr="00897582">
        <w:trPr>
          <w:trHeight w:val="5005"/>
        </w:trPr>
        <w:tc>
          <w:tcPr>
            <w:tcW w:w="227" w:type="pct"/>
            <w:shd w:val="clear" w:color="auto" w:fill="FFFFFF"/>
            <w:vAlign w:val="center"/>
          </w:tcPr>
          <w:p w14:paraId="6FFE4A68" w14:textId="69A8E061" w:rsidR="00BB2E2F" w:rsidRPr="00B45621" w:rsidRDefault="00BB2E2F" w:rsidP="00BB2E2F">
            <w:pPr>
              <w:pStyle w:val="NormalWeb"/>
              <w:shd w:val="clear" w:color="auto" w:fill="FFFFFF"/>
              <w:spacing w:before="60" w:beforeAutospacing="0" w:after="60" w:afterAutospacing="0"/>
              <w:jc w:val="center"/>
              <w:rPr>
                <w:rFonts w:asciiTheme="majorHAnsi" w:hAnsiTheme="majorHAnsi" w:cstheme="majorHAnsi"/>
                <w:sz w:val="22"/>
                <w:szCs w:val="22"/>
              </w:rPr>
            </w:pPr>
            <w:r w:rsidRPr="00B45621">
              <w:rPr>
                <w:rFonts w:asciiTheme="majorHAnsi" w:hAnsiTheme="majorHAnsi" w:cstheme="majorHAnsi"/>
                <w:sz w:val="22"/>
                <w:szCs w:val="22"/>
              </w:rPr>
              <w:t>5</w:t>
            </w:r>
          </w:p>
        </w:tc>
        <w:tc>
          <w:tcPr>
            <w:tcW w:w="682" w:type="pct"/>
            <w:shd w:val="clear" w:color="auto" w:fill="FFFFFF"/>
            <w:vAlign w:val="center"/>
          </w:tcPr>
          <w:p w14:paraId="097970CB" w14:textId="0EB4CAF3" w:rsidR="00BB2E2F" w:rsidRPr="00B45621" w:rsidRDefault="00BB2E2F" w:rsidP="00BB2E2F">
            <w:pPr>
              <w:pStyle w:val="NormalWeb"/>
              <w:shd w:val="clear" w:color="auto" w:fill="FFFFFF"/>
              <w:spacing w:before="60" w:beforeAutospacing="0" w:after="60" w:afterAutospacing="0"/>
              <w:ind w:left="141"/>
              <w:rPr>
                <w:rFonts w:asciiTheme="majorHAnsi" w:hAnsiTheme="majorHAnsi" w:cstheme="majorHAnsi"/>
                <w:b/>
                <w:bCs/>
                <w:sz w:val="22"/>
                <w:szCs w:val="22"/>
              </w:rPr>
            </w:pPr>
            <w:r w:rsidRPr="00B45621">
              <w:rPr>
                <w:rFonts w:asciiTheme="majorHAnsi" w:hAnsiTheme="majorHAnsi" w:cstheme="majorHAnsi"/>
                <w:b/>
                <w:bCs/>
                <w:sz w:val="22"/>
                <w:szCs w:val="22"/>
              </w:rPr>
              <w:t>Chế độ thu, nộp, quản lý và sử dụng phí</w:t>
            </w:r>
          </w:p>
        </w:tc>
        <w:tc>
          <w:tcPr>
            <w:tcW w:w="1637" w:type="pct"/>
            <w:shd w:val="clear" w:color="auto" w:fill="FFFFFF"/>
            <w:vAlign w:val="center"/>
          </w:tcPr>
          <w:p w14:paraId="09EFF4C7" w14:textId="3633CD0A" w:rsidR="00BB2E2F" w:rsidRPr="009D7A48" w:rsidRDefault="00BB2E2F" w:rsidP="00BB2E2F">
            <w:pPr>
              <w:spacing w:after="280" w:afterAutospacing="1"/>
              <w:jc w:val="both"/>
              <w:rPr>
                <w:sz w:val="22"/>
                <w:szCs w:val="22"/>
              </w:rPr>
            </w:pPr>
            <w:r>
              <w:rPr>
                <w:sz w:val="22"/>
                <w:szCs w:val="22"/>
              </w:rPr>
              <w:t xml:space="preserve">     </w:t>
            </w:r>
            <w:r w:rsidRPr="009D7A48">
              <w:rPr>
                <w:sz w:val="22"/>
                <w:szCs w:val="22"/>
              </w:rPr>
              <w:t>a) Trường hợp tổ chức thực hiện thu phí đã được ngân sách nhà nước bảo đảm kinh phí cho hoạt động thu phí theo dự toán hàng năm thì tổ chức thực hiện thu phí phải nộp toàn bộ số tiền phí thu được vào ngân sách nhà nước;</w:t>
            </w:r>
          </w:p>
          <w:p w14:paraId="558E396D" w14:textId="1AA7E61E" w:rsidR="00BB2E2F" w:rsidRPr="009D7A48" w:rsidRDefault="00BB2E2F" w:rsidP="00BB2E2F">
            <w:pPr>
              <w:spacing w:after="280" w:afterAutospacing="1"/>
              <w:jc w:val="both"/>
              <w:rPr>
                <w:sz w:val="22"/>
                <w:szCs w:val="22"/>
              </w:rPr>
            </w:pPr>
            <w:r>
              <w:rPr>
                <w:sz w:val="22"/>
                <w:szCs w:val="22"/>
              </w:rPr>
              <w:t xml:space="preserve">      </w:t>
            </w:r>
            <w:r w:rsidRPr="009D7A48">
              <w:rPr>
                <w:sz w:val="22"/>
                <w:szCs w:val="22"/>
              </w:rPr>
              <w:t>b) Trường hợp tổ chức thực hiện thu phí chưa được ngân sách nhà nước bảo đảm kinh phí cho hoạt động thu phí (kể cả trường hợp đơn vị thu phí được ủy quyền thu phí ngoài chức năng nhiệm vụ thường xuyên) thì tổ chức thực hiện thu phí được để lại 60% trong tổng số tiền phí thu được để trang trải chi phí cho hoạt động thu phí; 40% tiền phí thu được còn lại phải nộp vào ngân sách nhà nước.</w:t>
            </w:r>
          </w:p>
          <w:p w14:paraId="12E8DCB6" w14:textId="04C16297" w:rsidR="00BB2E2F" w:rsidRPr="00B45621" w:rsidRDefault="00BB2E2F" w:rsidP="00BB2E2F">
            <w:pPr>
              <w:pStyle w:val="NormalWeb"/>
              <w:shd w:val="clear" w:color="auto" w:fill="FFFFFF"/>
              <w:spacing w:before="0" w:beforeAutospacing="0" w:after="0" w:afterAutospacing="0"/>
              <w:ind w:right="141"/>
              <w:jc w:val="both"/>
              <w:rPr>
                <w:rFonts w:asciiTheme="majorHAnsi" w:hAnsiTheme="majorHAnsi" w:cstheme="majorHAnsi"/>
                <w:sz w:val="22"/>
                <w:szCs w:val="22"/>
              </w:rPr>
            </w:pPr>
          </w:p>
        </w:tc>
        <w:tc>
          <w:tcPr>
            <w:tcW w:w="1433" w:type="pct"/>
            <w:shd w:val="clear" w:color="auto" w:fill="FFFFFF"/>
            <w:vAlign w:val="center"/>
          </w:tcPr>
          <w:p w14:paraId="3D326E7B" w14:textId="77777777" w:rsidR="000548C7" w:rsidRPr="000548C7" w:rsidRDefault="000548C7" w:rsidP="000548C7">
            <w:pPr>
              <w:ind w:firstLine="567"/>
              <w:jc w:val="both"/>
              <w:rPr>
                <w:sz w:val="22"/>
                <w:szCs w:val="22"/>
              </w:rPr>
            </w:pPr>
            <w:r w:rsidRPr="000548C7">
              <w:rPr>
                <w:sz w:val="22"/>
                <w:szCs w:val="22"/>
              </w:rPr>
              <w:t>a) Trường hợp tổ chức thực hiện thu phí được ngân sách nhà nước bảo đảm kinh phí hoạt động, toàn bộ số phí thu được  phẩi nộp 100% vào ngân sách nhà nước theo quy định.</w:t>
            </w:r>
          </w:p>
          <w:p w14:paraId="52C54B1C" w14:textId="77777777" w:rsidR="000548C7" w:rsidRPr="000548C7" w:rsidRDefault="000548C7" w:rsidP="000548C7">
            <w:pPr>
              <w:ind w:firstLine="567"/>
              <w:jc w:val="both"/>
              <w:rPr>
                <w:sz w:val="22"/>
                <w:szCs w:val="22"/>
              </w:rPr>
            </w:pPr>
            <w:r w:rsidRPr="000548C7">
              <w:rPr>
                <w:sz w:val="22"/>
                <w:szCs w:val="22"/>
              </w:rPr>
              <w:t>Hàng năm, căn cứ nhiệm vụ được giao, đơn vị thực hiện thu phí có trách nhiệm lập dự toán thu, chi ngân sách gửi cơ quan có thẩm quyền xem xét, phê duyệt theo quy định của pháp luật về ngân sách nhà nước để phục vụ hoạt động thu phí.</w:t>
            </w:r>
          </w:p>
          <w:p w14:paraId="75DF569F" w14:textId="77777777" w:rsidR="000548C7" w:rsidRPr="000548C7" w:rsidRDefault="000548C7" w:rsidP="000548C7">
            <w:pPr>
              <w:ind w:firstLine="567"/>
              <w:jc w:val="both"/>
              <w:rPr>
                <w:sz w:val="22"/>
                <w:szCs w:val="22"/>
              </w:rPr>
            </w:pPr>
            <w:r w:rsidRPr="000548C7">
              <w:rPr>
                <w:sz w:val="22"/>
                <w:szCs w:val="22"/>
              </w:rPr>
              <w:t>b) Trường hợp tổ chức thực hiện thu phí chưa được ngân sách nhà nước bảo đảm kinh phí cho hoạt động thu phí thì tổ chức thực hiện thu phí được để lại 70% trong tổng số tiền phí thu được để trang trải chi phí cho hoạt động thu phí; 30% tiền phí thu được còn lại phải nộp vào ngân sách nhà nước.</w:t>
            </w:r>
          </w:p>
          <w:p w14:paraId="5E9CD8E1" w14:textId="06655135" w:rsidR="00BB2E2F" w:rsidRPr="00BC1E21" w:rsidRDefault="000548C7" w:rsidP="00BB2E2F">
            <w:pPr>
              <w:spacing w:before="120" w:after="120"/>
              <w:ind w:firstLine="567"/>
              <w:jc w:val="both"/>
              <w:rPr>
                <w:sz w:val="22"/>
                <w:szCs w:val="22"/>
              </w:rPr>
            </w:pPr>
            <w:r>
              <w:rPr>
                <w:sz w:val="22"/>
                <w:szCs w:val="22"/>
              </w:rPr>
              <w:t>c</w:t>
            </w:r>
            <w:r w:rsidR="00BB2E2F" w:rsidRPr="00BC1E21">
              <w:rPr>
                <w:sz w:val="22"/>
                <w:szCs w:val="22"/>
                <w:lang w:val="vi-VN"/>
              </w:rPr>
              <w:t>) Các nội dung liên quan đến việc kê khai, thu, nộp, quản lý</w:t>
            </w:r>
            <w:r w:rsidR="00BB2E2F" w:rsidRPr="00BC1E21">
              <w:rPr>
                <w:sz w:val="22"/>
                <w:szCs w:val="22"/>
              </w:rPr>
              <w:t xml:space="preserve"> lệ phí</w:t>
            </w:r>
            <w:r w:rsidR="00BB2E2F" w:rsidRPr="00BC1E21">
              <w:rPr>
                <w:sz w:val="22"/>
                <w:szCs w:val="22"/>
                <w:lang w:val="vi-VN"/>
              </w:rPr>
              <w:t xml:space="preserve"> được thực hiện theo quy định Luật Phí và lệ phí số 97/2015/QH13, Nghị định số </w:t>
            </w:r>
            <w:r w:rsidR="00BB2E2F" w:rsidRPr="00BC1E21">
              <w:rPr>
                <w:sz w:val="22"/>
                <w:szCs w:val="22"/>
              </w:rPr>
              <w:t>362/2025</w:t>
            </w:r>
            <w:r w:rsidR="00BB2E2F" w:rsidRPr="00BC1E21">
              <w:rPr>
                <w:sz w:val="22"/>
                <w:szCs w:val="22"/>
                <w:lang w:val="vi-VN"/>
              </w:rPr>
              <w:t xml:space="preserve">/NĐ-CP quy định chi tiết </w:t>
            </w:r>
            <w:r w:rsidR="00BB2E2F" w:rsidRPr="00BC1E21">
              <w:rPr>
                <w:sz w:val="22"/>
                <w:szCs w:val="22"/>
              </w:rPr>
              <w:t xml:space="preserve">một số điều </w:t>
            </w:r>
            <w:r w:rsidR="00BB2E2F" w:rsidRPr="00BC1E21">
              <w:rPr>
                <w:sz w:val="22"/>
                <w:szCs w:val="22"/>
                <w:lang w:val="vi-VN"/>
              </w:rPr>
              <w:t xml:space="preserve">và </w:t>
            </w:r>
            <w:r w:rsidR="00BB2E2F" w:rsidRPr="00BC1E21">
              <w:rPr>
                <w:sz w:val="22"/>
                <w:szCs w:val="22"/>
              </w:rPr>
              <w:t>biện pháp để tổ chức, hướng dẫn thi hành Luật phí và lệ phí</w:t>
            </w:r>
            <w:r w:rsidR="00BB2E2F" w:rsidRPr="00BC1E21">
              <w:rPr>
                <w:iCs/>
                <w:sz w:val="22"/>
                <w:szCs w:val="22"/>
              </w:rPr>
              <w:t>.</w:t>
            </w:r>
          </w:p>
          <w:p w14:paraId="0A67F81B" w14:textId="3D4E810D" w:rsidR="00BB2E2F" w:rsidRPr="00B45621" w:rsidRDefault="00BB2E2F" w:rsidP="00BB2E2F">
            <w:pPr>
              <w:spacing w:before="60" w:after="60"/>
              <w:ind w:left="142" w:right="142"/>
              <w:jc w:val="both"/>
              <w:rPr>
                <w:rFonts w:asciiTheme="majorHAnsi" w:hAnsiTheme="majorHAnsi" w:cstheme="majorHAnsi"/>
                <w:sz w:val="22"/>
                <w:szCs w:val="22"/>
              </w:rPr>
            </w:pPr>
          </w:p>
        </w:tc>
        <w:tc>
          <w:tcPr>
            <w:tcW w:w="1021" w:type="pct"/>
            <w:shd w:val="clear" w:color="auto" w:fill="FFFFFF"/>
            <w:vAlign w:val="center"/>
          </w:tcPr>
          <w:p w14:paraId="51A5C9F2" w14:textId="1BDA558B" w:rsidR="00BB2E2F" w:rsidRPr="00BB2E2F" w:rsidRDefault="00BB2E2F" w:rsidP="00BB2E2F">
            <w:pPr>
              <w:spacing w:before="60" w:after="60"/>
              <w:ind w:right="138"/>
              <w:jc w:val="both"/>
              <w:rPr>
                <w:rFonts w:asciiTheme="majorHAnsi" w:hAnsiTheme="majorHAnsi" w:cstheme="majorHAnsi"/>
                <w:sz w:val="22"/>
                <w:szCs w:val="22"/>
              </w:rPr>
            </w:pPr>
            <w:r w:rsidRPr="00BB2E2F">
              <w:rPr>
                <w:rFonts w:asciiTheme="majorHAnsi" w:hAnsiTheme="majorHAnsi" w:cstheme="majorHAnsi"/>
                <w:color w:val="000000" w:themeColor="text1"/>
                <w:sz w:val="22"/>
                <w:szCs w:val="22"/>
              </w:rPr>
              <w:t xml:space="preserve">Rà soát phù hợp với </w:t>
            </w:r>
            <w:hyperlink r:id="rId22" w:tgtFrame="_blank" w:history="1">
              <w:r w:rsidRPr="00BB2E2F">
                <w:rPr>
                  <w:color w:val="000000" w:themeColor="text1"/>
                  <w:sz w:val="22"/>
                  <w:szCs w:val="22"/>
                </w:rPr>
                <w:t> Luật Phí và lệ phí và</w:t>
              </w:r>
            </w:hyperlink>
            <w:r w:rsidRPr="00BB2E2F">
              <w:rPr>
                <w:sz w:val="22"/>
                <w:szCs w:val="22"/>
              </w:rPr>
              <w:t xml:space="preserve"> các quy định về phí, lệ phí hiện hành</w:t>
            </w:r>
          </w:p>
        </w:tc>
      </w:tr>
      <w:tr w:rsidR="00BB2E2F" w:rsidRPr="00B45621" w14:paraId="250B0988" w14:textId="77777777" w:rsidTr="00897582">
        <w:tc>
          <w:tcPr>
            <w:tcW w:w="227" w:type="pct"/>
            <w:shd w:val="clear" w:color="auto" w:fill="FFFFFF"/>
            <w:vAlign w:val="center"/>
          </w:tcPr>
          <w:p w14:paraId="43937F3A" w14:textId="0094EA1A" w:rsidR="00BB2E2F" w:rsidRPr="00B45621" w:rsidRDefault="00BB2E2F" w:rsidP="00BB2E2F">
            <w:pPr>
              <w:pStyle w:val="NormalWeb"/>
              <w:shd w:val="clear" w:color="auto" w:fill="FFFFFF"/>
              <w:spacing w:before="60" w:beforeAutospacing="0" w:after="60" w:afterAutospacing="0"/>
              <w:jc w:val="center"/>
              <w:rPr>
                <w:rFonts w:asciiTheme="majorHAnsi" w:hAnsiTheme="majorHAnsi" w:cstheme="majorHAnsi"/>
                <w:sz w:val="22"/>
                <w:szCs w:val="22"/>
              </w:rPr>
            </w:pPr>
            <w:r w:rsidRPr="00B45621">
              <w:rPr>
                <w:rFonts w:asciiTheme="majorHAnsi" w:hAnsiTheme="majorHAnsi" w:cstheme="majorHAnsi"/>
                <w:sz w:val="22"/>
                <w:szCs w:val="22"/>
              </w:rPr>
              <w:t>6</w:t>
            </w:r>
          </w:p>
        </w:tc>
        <w:tc>
          <w:tcPr>
            <w:tcW w:w="682" w:type="pct"/>
            <w:shd w:val="clear" w:color="auto" w:fill="FFFFFF"/>
            <w:vAlign w:val="center"/>
          </w:tcPr>
          <w:p w14:paraId="09440D42" w14:textId="60DCF3C5" w:rsidR="00BB2E2F" w:rsidRPr="00B45621" w:rsidRDefault="00BB2E2F" w:rsidP="00BB2E2F">
            <w:pPr>
              <w:pStyle w:val="NormalWeb"/>
              <w:shd w:val="clear" w:color="auto" w:fill="FFFFFF"/>
              <w:spacing w:before="60" w:beforeAutospacing="0" w:after="60" w:afterAutospacing="0"/>
              <w:ind w:left="141"/>
              <w:rPr>
                <w:rFonts w:asciiTheme="majorHAnsi" w:hAnsiTheme="majorHAnsi" w:cstheme="majorHAnsi"/>
                <w:b/>
                <w:bCs/>
                <w:sz w:val="22"/>
                <w:szCs w:val="22"/>
              </w:rPr>
            </w:pPr>
            <w:r w:rsidRPr="00B45621">
              <w:rPr>
                <w:rFonts w:asciiTheme="majorHAnsi" w:hAnsiTheme="majorHAnsi" w:cstheme="majorHAnsi"/>
                <w:b/>
                <w:bCs/>
                <w:sz w:val="22"/>
                <w:szCs w:val="22"/>
              </w:rPr>
              <w:t>Căn cứ pháp lý</w:t>
            </w:r>
          </w:p>
        </w:tc>
        <w:tc>
          <w:tcPr>
            <w:tcW w:w="1637" w:type="pct"/>
            <w:shd w:val="clear" w:color="auto" w:fill="FFFFFF"/>
            <w:vAlign w:val="center"/>
          </w:tcPr>
          <w:p w14:paraId="691A1FFB" w14:textId="3CF715D0" w:rsidR="00BB2E2F" w:rsidRPr="00B45621" w:rsidRDefault="00BB2E2F" w:rsidP="00BB2E2F">
            <w:pPr>
              <w:pStyle w:val="NormalWeb"/>
              <w:shd w:val="clear" w:color="auto" w:fill="FFFFFF"/>
              <w:spacing w:before="0" w:beforeAutospacing="0" w:after="0" w:afterAutospacing="0"/>
              <w:ind w:right="141"/>
              <w:jc w:val="both"/>
              <w:rPr>
                <w:rFonts w:asciiTheme="majorHAnsi" w:hAnsiTheme="majorHAnsi" w:cstheme="majorHAnsi"/>
                <w:sz w:val="22"/>
                <w:szCs w:val="22"/>
              </w:rPr>
            </w:pPr>
            <w:r w:rsidRPr="00B45621">
              <w:rPr>
                <w:rFonts w:asciiTheme="majorHAnsi" w:hAnsiTheme="majorHAnsi" w:cstheme="majorHAnsi"/>
                <w:sz w:val="22"/>
                <w:szCs w:val="22"/>
              </w:rPr>
              <w:t xml:space="preserve">Căn cứ pháp lý là các Văn bản quy phạm pháp luật có hiệu lục thi hành tại thời điểm tham mưu trình ban hành Nghị quyết </w:t>
            </w:r>
            <w:r>
              <w:rPr>
                <w:rFonts w:asciiTheme="majorHAnsi" w:hAnsiTheme="majorHAnsi" w:cstheme="majorHAnsi"/>
                <w:bCs/>
                <w:sz w:val="22"/>
                <w:szCs w:val="22"/>
              </w:rPr>
              <w:t>13</w:t>
            </w:r>
            <w:r w:rsidRPr="00B45621">
              <w:rPr>
                <w:rFonts w:asciiTheme="majorHAnsi" w:hAnsiTheme="majorHAnsi" w:cstheme="majorHAnsi"/>
                <w:bCs/>
                <w:sz w:val="22"/>
                <w:szCs w:val="22"/>
              </w:rPr>
              <w:t>/20</w:t>
            </w:r>
            <w:r>
              <w:rPr>
                <w:rFonts w:asciiTheme="majorHAnsi" w:hAnsiTheme="majorHAnsi" w:cstheme="majorHAnsi"/>
                <w:bCs/>
                <w:sz w:val="22"/>
                <w:szCs w:val="22"/>
              </w:rPr>
              <w:t>15</w:t>
            </w:r>
            <w:r w:rsidRPr="00B45621">
              <w:rPr>
                <w:rFonts w:asciiTheme="majorHAnsi" w:hAnsiTheme="majorHAnsi" w:cstheme="majorHAnsi"/>
                <w:bCs/>
                <w:sz w:val="22"/>
                <w:szCs w:val="22"/>
              </w:rPr>
              <w:t xml:space="preserve">/NQ-HĐND ngày </w:t>
            </w:r>
            <w:r>
              <w:rPr>
                <w:rFonts w:asciiTheme="majorHAnsi" w:hAnsiTheme="majorHAnsi" w:cstheme="majorHAnsi"/>
                <w:bCs/>
                <w:sz w:val="22"/>
                <w:szCs w:val="22"/>
              </w:rPr>
              <w:t>14</w:t>
            </w:r>
            <w:r w:rsidRPr="00B45621">
              <w:rPr>
                <w:rFonts w:asciiTheme="majorHAnsi" w:hAnsiTheme="majorHAnsi" w:cstheme="majorHAnsi"/>
                <w:bCs/>
                <w:sz w:val="22"/>
                <w:szCs w:val="22"/>
              </w:rPr>
              <w:t>/</w:t>
            </w:r>
            <w:r>
              <w:rPr>
                <w:rFonts w:asciiTheme="majorHAnsi" w:hAnsiTheme="majorHAnsi" w:cstheme="majorHAnsi"/>
                <w:bCs/>
                <w:sz w:val="22"/>
                <w:szCs w:val="22"/>
              </w:rPr>
              <w:t>12</w:t>
            </w:r>
            <w:r w:rsidRPr="00B45621">
              <w:rPr>
                <w:rFonts w:asciiTheme="majorHAnsi" w:hAnsiTheme="majorHAnsi" w:cstheme="majorHAnsi"/>
                <w:bCs/>
                <w:sz w:val="22"/>
                <w:szCs w:val="22"/>
              </w:rPr>
              <w:t>/20</w:t>
            </w:r>
            <w:r>
              <w:rPr>
                <w:rFonts w:asciiTheme="majorHAnsi" w:hAnsiTheme="majorHAnsi" w:cstheme="majorHAnsi"/>
                <w:bCs/>
                <w:sz w:val="22"/>
                <w:szCs w:val="22"/>
              </w:rPr>
              <w:t>15</w:t>
            </w:r>
          </w:p>
        </w:tc>
        <w:tc>
          <w:tcPr>
            <w:tcW w:w="1433" w:type="pct"/>
            <w:shd w:val="clear" w:color="auto" w:fill="FFFFFF"/>
            <w:vAlign w:val="center"/>
          </w:tcPr>
          <w:p w14:paraId="2A49CA82" w14:textId="3135E8BB" w:rsidR="00BB2E2F" w:rsidRPr="00B45621" w:rsidRDefault="00BB2E2F" w:rsidP="00BB2E2F">
            <w:pPr>
              <w:spacing w:before="60" w:after="60"/>
              <w:ind w:left="142" w:right="142"/>
              <w:jc w:val="both"/>
              <w:rPr>
                <w:rFonts w:asciiTheme="majorHAnsi" w:hAnsiTheme="majorHAnsi" w:cstheme="majorHAnsi"/>
                <w:sz w:val="22"/>
                <w:szCs w:val="22"/>
              </w:rPr>
            </w:pPr>
            <w:r w:rsidRPr="00B45621">
              <w:rPr>
                <w:rFonts w:asciiTheme="majorHAnsi" w:hAnsiTheme="majorHAnsi" w:cstheme="majorHAnsi"/>
                <w:sz w:val="22"/>
                <w:szCs w:val="22"/>
              </w:rPr>
              <w:t>Dự thảo Nghị quyết mới là phù hợp</w:t>
            </w:r>
          </w:p>
        </w:tc>
        <w:tc>
          <w:tcPr>
            <w:tcW w:w="1021" w:type="pct"/>
            <w:shd w:val="clear" w:color="auto" w:fill="FFFFFF"/>
            <w:vAlign w:val="center"/>
          </w:tcPr>
          <w:p w14:paraId="6BEAAD66" w14:textId="50AB1CF2" w:rsidR="00BB2E2F" w:rsidRPr="00B45621" w:rsidRDefault="00BB2E2F" w:rsidP="00BB2E2F">
            <w:pPr>
              <w:spacing w:before="60" w:after="60"/>
              <w:ind w:right="138"/>
              <w:rPr>
                <w:rFonts w:asciiTheme="majorHAnsi" w:hAnsiTheme="majorHAnsi" w:cstheme="majorHAnsi"/>
                <w:sz w:val="22"/>
                <w:szCs w:val="22"/>
              </w:rPr>
            </w:pPr>
          </w:p>
        </w:tc>
      </w:tr>
      <w:tr w:rsidR="00BB2E2F" w:rsidRPr="00B45621" w14:paraId="7519B27C" w14:textId="77777777" w:rsidTr="00897582">
        <w:tc>
          <w:tcPr>
            <w:tcW w:w="2546" w:type="pct"/>
            <w:gridSpan w:val="3"/>
            <w:shd w:val="clear" w:color="auto" w:fill="FFFFFF"/>
          </w:tcPr>
          <w:p w14:paraId="27CC7A8B" w14:textId="755D10E8" w:rsidR="00BB2E2F" w:rsidRPr="00B45621" w:rsidRDefault="00BB2E2F" w:rsidP="00BB2E2F">
            <w:pPr>
              <w:pStyle w:val="NormalWeb"/>
              <w:shd w:val="clear" w:color="auto" w:fill="FFFFFF"/>
              <w:spacing w:before="0" w:beforeAutospacing="0" w:after="0" w:afterAutospacing="0"/>
              <w:ind w:left="139" w:right="141"/>
              <w:jc w:val="both"/>
              <w:rPr>
                <w:rFonts w:asciiTheme="majorHAnsi" w:hAnsiTheme="majorHAnsi" w:cstheme="majorHAnsi"/>
                <w:b/>
                <w:bCs/>
                <w:sz w:val="22"/>
                <w:szCs w:val="22"/>
              </w:rPr>
            </w:pPr>
            <w:r w:rsidRPr="00B45621">
              <w:rPr>
                <w:rFonts w:asciiTheme="majorHAnsi" w:hAnsiTheme="majorHAnsi" w:cstheme="majorHAnsi"/>
                <w:b/>
                <w:bCs/>
                <w:sz w:val="22"/>
                <w:szCs w:val="22"/>
              </w:rPr>
              <w:t>III. Tham chiếu Nghị quyết thu phí khai thác và sử dụng tài liệu đất đai các tỉnh</w:t>
            </w:r>
          </w:p>
        </w:tc>
        <w:tc>
          <w:tcPr>
            <w:tcW w:w="1433" w:type="pct"/>
            <w:shd w:val="clear" w:color="auto" w:fill="FFFFFF"/>
            <w:vAlign w:val="center"/>
          </w:tcPr>
          <w:p w14:paraId="6A85FACA" w14:textId="6C8892F2" w:rsidR="00BB2E2F" w:rsidRPr="00B45621" w:rsidRDefault="00BB2E2F" w:rsidP="00BB2E2F">
            <w:pPr>
              <w:spacing w:before="60" w:after="60"/>
              <w:ind w:right="142"/>
              <w:rPr>
                <w:rFonts w:asciiTheme="majorHAnsi" w:hAnsiTheme="majorHAnsi" w:cstheme="majorHAnsi"/>
                <w:sz w:val="22"/>
                <w:szCs w:val="22"/>
              </w:rPr>
            </w:pPr>
          </w:p>
        </w:tc>
        <w:tc>
          <w:tcPr>
            <w:tcW w:w="1021" w:type="pct"/>
            <w:shd w:val="clear" w:color="auto" w:fill="FFFFFF"/>
            <w:vAlign w:val="center"/>
          </w:tcPr>
          <w:p w14:paraId="30F2FE7C" w14:textId="5653EBC4" w:rsidR="00BB2E2F" w:rsidRPr="00B45621" w:rsidRDefault="00BB2E2F" w:rsidP="00BB2E2F">
            <w:pPr>
              <w:spacing w:before="60" w:after="60"/>
              <w:ind w:right="138"/>
              <w:rPr>
                <w:rFonts w:asciiTheme="majorHAnsi" w:hAnsiTheme="majorHAnsi" w:cstheme="majorHAnsi"/>
                <w:sz w:val="22"/>
                <w:szCs w:val="22"/>
              </w:rPr>
            </w:pPr>
          </w:p>
        </w:tc>
      </w:tr>
      <w:tr w:rsidR="00BB2E2F" w:rsidRPr="00B45621" w14:paraId="5B1FF472" w14:textId="77777777" w:rsidTr="00897582">
        <w:trPr>
          <w:trHeight w:val="803"/>
        </w:trPr>
        <w:tc>
          <w:tcPr>
            <w:tcW w:w="227" w:type="pct"/>
            <w:shd w:val="clear" w:color="auto" w:fill="FFFFFF"/>
            <w:vAlign w:val="center"/>
          </w:tcPr>
          <w:p w14:paraId="335D753E" w14:textId="2DE5E42B" w:rsidR="00BB2E2F" w:rsidRPr="00B45621" w:rsidRDefault="00BB2E2F" w:rsidP="00BB2E2F">
            <w:pPr>
              <w:pStyle w:val="NormalWeb"/>
              <w:shd w:val="clear" w:color="auto" w:fill="FFFFFF"/>
              <w:spacing w:before="60" w:beforeAutospacing="0" w:after="60" w:afterAutospacing="0"/>
              <w:ind w:right="144"/>
              <w:jc w:val="center"/>
              <w:rPr>
                <w:rStyle w:val="fontstyle01"/>
                <w:rFonts w:asciiTheme="majorHAnsi" w:hAnsiTheme="majorHAnsi" w:cstheme="majorHAnsi"/>
                <w:b w:val="0"/>
                <w:bCs w:val="0"/>
                <w:color w:val="auto"/>
                <w:sz w:val="22"/>
                <w:szCs w:val="22"/>
                <w:lang w:val="nl-NL"/>
              </w:rPr>
            </w:pPr>
            <w:r w:rsidRPr="00B45621">
              <w:rPr>
                <w:rStyle w:val="fontstyle01"/>
                <w:rFonts w:asciiTheme="majorHAnsi" w:hAnsiTheme="majorHAnsi" w:cstheme="majorHAnsi"/>
                <w:b w:val="0"/>
                <w:bCs w:val="0"/>
                <w:color w:val="auto"/>
                <w:sz w:val="22"/>
                <w:szCs w:val="22"/>
                <w:lang w:val="nl-NL"/>
              </w:rPr>
              <w:t>1</w:t>
            </w:r>
          </w:p>
        </w:tc>
        <w:tc>
          <w:tcPr>
            <w:tcW w:w="2319" w:type="pct"/>
            <w:gridSpan w:val="2"/>
            <w:shd w:val="clear" w:color="auto" w:fill="FFFFFF"/>
          </w:tcPr>
          <w:p w14:paraId="6E7DC0AE" w14:textId="07461F76" w:rsidR="00BB2E2F" w:rsidRPr="00B45621" w:rsidRDefault="00BB2E2F" w:rsidP="00BB2E2F">
            <w:pPr>
              <w:pStyle w:val="NormalWeb"/>
              <w:shd w:val="clear" w:color="auto" w:fill="FFFFFF"/>
              <w:spacing w:before="0" w:beforeAutospacing="0" w:after="0" w:afterAutospacing="0"/>
              <w:ind w:left="140" w:right="141"/>
              <w:jc w:val="both"/>
              <w:rPr>
                <w:rFonts w:asciiTheme="majorHAnsi" w:hAnsiTheme="majorHAnsi" w:cstheme="majorHAnsi"/>
                <w:b/>
                <w:bCs/>
                <w:sz w:val="22"/>
                <w:szCs w:val="22"/>
              </w:rPr>
            </w:pPr>
            <w:r w:rsidRPr="00B45621">
              <w:rPr>
                <w:rFonts w:asciiTheme="majorHAnsi" w:hAnsiTheme="majorHAnsi" w:cstheme="majorHAnsi"/>
                <w:b/>
                <w:bCs/>
                <w:sz w:val="22"/>
                <w:szCs w:val="22"/>
              </w:rPr>
              <w:t xml:space="preserve">Thành phố Hồ chí Minh </w:t>
            </w:r>
            <w:r w:rsidRPr="00B45621">
              <w:rPr>
                <w:rFonts w:asciiTheme="majorHAnsi" w:hAnsiTheme="majorHAnsi" w:cstheme="majorHAnsi"/>
                <w:i/>
                <w:iCs/>
                <w:sz w:val="22"/>
                <w:szCs w:val="22"/>
              </w:rPr>
              <w:t>(</w:t>
            </w:r>
            <w:r w:rsidRPr="00794825">
              <w:rPr>
                <w:i/>
                <w:iCs/>
                <w:sz w:val="22"/>
                <w:szCs w:val="22"/>
                <w:lang w:val="nl-NL"/>
              </w:rPr>
              <w:t xml:space="preserve">Nghị quyết số </w:t>
            </w:r>
            <w:r w:rsidRPr="00794825">
              <w:rPr>
                <w:i/>
                <w:iCs/>
                <w:sz w:val="22"/>
                <w:szCs w:val="22"/>
              </w:rPr>
              <w:t xml:space="preserve">124/2016/NQ-HĐND ngày 09/12/2016 </w:t>
            </w:r>
            <w:r w:rsidRPr="00794825">
              <w:rPr>
                <w:rFonts w:asciiTheme="majorHAnsi" w:hAnsiTheme="majorHAnsi" w:cstheme="majorHAnsi"/>
                <w:i/>
                <w:iCs/>
                <w:sz w:val="22"/>
                <w:szCs w:val="22"/>
              </w:rPr>
              <w:t>- hiện nay đang thực hiện Xây dựng lại Nghị quyết cho Thành phố sau sáp nhập)</w:t>
            </w:r>
          </w:p>
        </w:tc>
        <w:tc>
          <w:tcPr>
            <w:tcW w:w="1433" w:type="pct"/>
            <w:shd w:val="clear" w:color="auto" w:fill="FFFFFF"/>
            <w:vAlign w:val="center"/>
          </w:tcPr>
          <w:p w14:paraId="6955C759" w14:textId="1E998A8D" w:rsidR="00BB2E2F" w:rsidRPr="00B45621" w:rsidRDefault="00BB2E2F" w:rsidP="00BB2E2F">
            <w:pPr>
              <w:spacing w:before="60" w:after="60"/>
              <w:ind w:right="142"/>
              <w:jc w:val="both"/>
              <w:rPr>
                <w:rFonts w:asciiTheme="majorHAnsi" w:hAnsiTheme="majorHAnsi" w:cstheme="majorHAnsi"/>
                <w:sz w:val="22"/>
                <w:szCs w:val="22"/>
              </w:rPr>
            </w:pPr>
          </w:p>
        </w:tc>
        <w:tc>
          <w:tcPr>
            <w:tcW w:w="1021" w:type="pct"/>
            <w:shd w:val="clear" w:color="auto" w:fill="FFFFFF"/>
            <w:vAlign w:val="center"/>
          </w:tcPr>
          <w:p w14:paraId="1ACD9027" w14:textId="6194A562" w:rsidR="00BB2E2F" w:rsidRPr="00B45621" w:rsidRDefault="00BB2E2F" w:rsidP="00BB2E2F">
            <w:pPr>
              <w:spacing w:before="60" w:after="60"/>
              <w:ind w:right="138"/>
              <w:jc w:val="both"/>
              <w:rPr>
                <w:rFonts w:asciiTheme="majorHAnsi" w:hAnsiTheme="majorHAnsi" w:cstheme="majorHAnsi"/>
                <w:sz w:val="22"/>
                <w:szCs w:val="22"/>
              </w:rPr>
            </w:pPr>
          </w:p>
        </w:tc>
      </w:tr>
      <w:tr w:rsidR="00BB2E2F" w:rsidRPr="00B45621" w14:paraId="12F8C5FB" w14:textId="77777777" w:rsidTr="00897582">
        <w:trPr>
          <w:trHeight w:val="1562"/>
        </w:trPr>
        <w:tc>
          <w:tcPr>
            <w:tcW w:w="227" w:type="pct"/>
            <w:shd w:val="clear" w:color="auto" w:fill="FFFFFF"/>
            <w:vAlign w:val="center"/>
          </w:tcPr>
          <w:p w14:paraId="0FAB6162" w14:textId="0EB7B4F1" w:rsidR="00BB2E2F" w:rsidRPr="00B45621" w:rsidRDefault="00BB2E2F" w:rsidP="00BB2E2F">
            <w:pPr>
              <w:pStyle w:val="NormalWeb"/>
              <w:shd w:val="clear" w:color="auto" w:fill="FFFFFF"/>
              <w:spacing w:before="60" w:beforeAutospacing="0" w:after="60" w:afterAutospacing="0"/>
              <w:ind w:right="144"/>
              <w:jc w:val="center"/>
              <w:rPr>
                <w:rFonts w:asciiTheme="majorHAnsi" w:hAnsiTheme="majorHAnsi" w:cstheme="majorHAnsi"/>
                <w:sz w:val="22"/>
                <w:szCs w:val="22"/>
              </w:rPr>
            </w:pPr>
          </w:p>
        </w:tc>
        <w:tc>
          <w:tcPr>
            <w:tcW w:w="682" w:type="pct"/>
            <w:shd w:val="clear" w:color="auto" w:fill="FFFFFF"/>
            <w:vAlign w:val="center"/>
          </w:tcPr>
          <w:p w14:paraId="3CC3A0AD" w14:textId="7B308052" w:rsidR="00BB2E2F" w:rsidRPr="00B45621" w:rsidRDefault="00BB2E2F" w:rsidP="00BB2E2F">
            <w:pPr>
              <w:pStyle w:val="NormalWeb"/>
              <w:shd w:val="clear" w:color="auto" w:fill="FFFFFF"/>
              <w:spacing w:before="60" w:beforeAutospacing="0" w:after="60" w:afterAutospacing="0"/>
              <w:ind w:right="144"/>
              <w:jc w:val="center"/>
              <w:rPr>
                <w:rFonts w:asciiTheme="majorHAnsi" w:hAnsiTheme="majorHAnsi" w:cstheme="majorHAnsi"/>
                <w:sz w:val="22"/>
                <w:szCs w:val="22"/>
              </w:rPr>
            </w:pPr>
          </w:p>
        </w:tc>
        <w:tc>
          <w:tcPr>
            <w:tcW w:w="1637" w:type="pct"/>
            <w:shd w:val="clear" w:color="auto" w:fill="FFFFFF"/>
            <w:vAlign w:val="center"/>
          </w:tcPr>
          <w:p w14:paraId="37F7EFE7" w14:textId="0816E0E7" w:rsidR="00BB2E2F" w:rsidRPr="00794825" w:rsidRDefault="00BB2E2F" w:rsidP="00BB2E2F">
            <w:pPr>
              <w:pStyle w:val="NormalWeb"/>
              <w:shd w:val="clear" w:color="auto" w:fill="FFFFFF"/>
              <w:spacing w:before="0" w:beforeAutospacing="0" w:after="0" w:afterAutospacing="0"/>
              <w:ind w:right="141"/>
              <w:jc w:val="both"/>
              <w:rPr>
                <w:sz w:val="22"/>
                <w:szCs w:val="22"/>
                <w:lang w:val="nl-NL"/>
              </w:rPr>
            </w:pPr>
            <w:r>
              <w:rPr>
                <w:sz w:val="28"/>
                <w:szCs w:val="28"/>
              </w:rPr>
              <w:t xml:space="preserve">  </w:t>
            </w:r>
            <w:r w:rsidRPr="00794825">
              <w:rPr>
                <w:sz w:val="22"/>
                <w:szCs w:val="22"/>
              </w:rPr>
              <w:t>-Mức thu cho áp dụng cho diện tích theo quy định cụ thể (</w:t>
            </w:r>
            <w:r w:rsidR="00794825" w:rsidRPr="00794825">
              <w:rPr>
                <w:sz w:val="22"/>
                <w:szCs w:val="22"/>
              </w:rPr>
              <w:t>Dưới 500m</w:t>
            </w:r>
            <w:r w:rsidR="00794825" w:rsidRPr="00794825">
              <w:rPr>
                <w:sz w:val="22"/>
                <w:szCs w:val="22"/>
                <w:vertAlign w:val="superscript"/>
              </w:rPr>
              <w:t>2</w:t>
            </w:r>
            <w:r w:rsidR="00794825" w:rsidRPr="00794825">
              <w:rPr>
                <w:sz w:val="22"/>
                <w:szCs w:val="22"/>
              </w:rPr>
              <w:t>;</w:t>
            </w:r>
            <w:r w:rsidR="00794825" w:rsidRPr="00794825">
              <w:rPr>
                <w:rFonts w:ascii="Arial" w:hAnsi="Arial" w:cs="Arial"/>
                <w:color w:val="000000"/>
                <w:sz w:val="22"/>
                <w:szCs w:val="22"/>
                <w:shd w:val="clear" w:color="auto" w:fill="FFFFFF"/>
              </w:rPr>
              <w:t xml:space="preserve"> </w:t>
            </w:r>
            <w:r w:rsidR="00794825" w:rsidRPr="00794825">
              <w:rPr>
                <w:sz w:val="22"/>
                <w:szCs w:val="22"/>
              </w:rPr>
              <w:t>từ 500m</w:t>
            </w:r>
            <w:r w:rsidR="00794825" w:rsidRPr="00794825">
              <w:rPr>
                <w:sz w:val="22"/>
                <w:szCs w:val="22"/>
                <w:vertAlign w:val="superscript"/>
              </w:rPr>
              <w:t>2</w:t>
            </w:r>
            <w:r w:rsidR="00794825" w:rsidRPr="00794825">
              <w:rPr>
                <w:sz w:val="22"/>
                <w:szCs w:val="22"/>
              </w:rPr>
              <w:t> trở lên; tổ chức: nhỏ hơn 1.000m</w:t>
            </w:r>
            <w:r w:rsidR="00794825" w:rsidRPr="00794825">
              <w:rPr>
                <w:sz w:val="22"/>
                <w:szCs w:val="22"/>
                <w:vertAlign w:val="superscript"/>
              </w:rPr>
              <w:t xml:space="preserve">2 </w:t>
            </w:r>
            <w:r w:rsidR="00794825" w:rsidRPr="00794825">
              <w:rPr>
                <w:sz w:val="22"/>
                <w:szCs w:val="22"/>
              </w:rPr>
              <w:t>, từ 10.000m</w:t>
            </w:r>
            <w:r w:rsidR="00794825" w:rsidRPr="00794825">
              <w:rPr>
                <w:sz w:val="22"/>
                <w:szCs w:val="22"/>
                <w:vertAlign w:val="superscript"/>
              </w:rPr>
              <w:t xml:space="preserve">2  </w:t>
            </w:r>
            <w:r w:rsidR="00794825" w:rsidRPr="00794825">
              <w:rPr>
                <w:sz w:val="22"/>
                <w:szCs w:val="22"/>
              </w:rPr>
              <w:t>đến dưới 100.000m</w:t>
            </w:r>
            <w:r w:rsidR="00794825" w:rsidRPr="00794825">
              <w:rPr>
                <w:sz w:val="22"/>
                <w:szCs w:val="22"/>
                <w:vertAlign w:val="superscript"/>
              </w:rPr>
              <w:t>2</w:t>
            </w:r>
            <w:r w:rsidR="00794825" w:rsidRPr="00794825">
              <w:rPr>
                <w:sz w:val="22"/>
                <w:szCs w:val="22"/>
              </w:rPr>
              <w:t>, từ 100.000m</w:t>
            </w:r>
            <w:r w:rsidR="00794825" w:rsidRPr="00794825">
              <w:rPr>
                <w:sz w:val="22"/>
                <w:szCs w:val="22"/>
                <w:vertAlign w:val="superscript"/>
              </w:rPr>
              <w:t xml:space="preserve">2 </w:t>
            </w:r>
            <w:r w:rsidR="00794825" w:rsidRPr="00794825">
              <w:rPr>
                <w:sz w:val="22"/>
                <w:szCs w:val="22"/>
              </w:rPr>
              <w:t>trở lên</w:t>
            </w:r>
            <w:r w:rsidRPr="00794825">
              <w:rPr>
                <w:sz w:val="22"/>
                <w:szCs w:val="22"/>
              </w:rPr>
              <w:t>)</w:t>
            </w:r>
            <w:r w:rsidR="00794825" w:rsidRPr="00794825">
              <w:rPr>
                <w:sz w:val="22"/>
                <w:szCs w:val="22"/>
              </w:rPr>
              <w:t>.</w:t>
            </w:r>
          </w:p>
        </w:tc>
        <w:tc>
          <w:tcPr>
            <w:tcW w:w="1433" w:type="pct"/>
            <w:shd w:val="clear" w:color="auto" w:fill="FFFFFF"/>
            <w:vAlign w:val="center"/>
          </w:tcPr>
          <w:p w14:paraId="3DBB4FB4" w14:textId="2FA5801C" w:rsidR="00BB2E2F" w:rsidRPr="00B45621" w:rsidRDefault="00BB2E2F" w:rsidP="00BB2E2F">
            <w:pPr>
              <w:spacing w:before="60" w:after="60"/>
              <w:ind w:right="142"/>
              <w:jc w:val="both"/>
              <w:rPr>
                <w:rFonts w:asciiTheme="majorHAnsi" w:hAnsiTheme="majorHAnsi" w:cstheme="majorHAnsi"/>
                <w:sz w:val="22"/>
                <w:szCs w:val="22"/>
              </w:rPr>
            </w:pPr>
          </w:p>
        </w:tc>
        <w:tc>
          <w:tcPr>
            <w:tcW w:w="1021" w:type="pct"/>
            <w:shd w:val="clear" w:color="auto" w:fill="FFFFFF"/>
            <w:vAlign w:val="center"/>
          </w:tcPr>
          <w:p w14:paraId="55ED7D9D" w14:textId="0A92752A" w:rsidR="00BB2E2F" w:rsidRPr="00B45621" w:rsidRDefault="00BB2E2F" w:rsidP="00BB2E2F">
            <w:pPr>
              <w:spacing w:before="60" w:after="60"/>
              <w:ind w:left="85" w:right="138"/>
              <w:jc w:val="both"/>
              <w:rPr>
                <w:rFonts w:asciiTheme="majorHAnsi" w:hAnsiTheme="majorHAnsi" w:cstheme="majorHAnsi"/>
                <w:sz w:val="22"/>
                <w:szCs w:val="22"/>
              </w:rPr>
            </w:pPr>
            <w:r w:rsidRPr="00546945">
              <w:rPr>
                <w:rFonts w:asciiTheme="majorHAnsi" w:hAnsiTheme="majorHAnsi" w:cstheme="majorHAnsi"/>
                <w:sz w:val="22"/>
                <w:szCs w:val="22"/>
              </w:rPr>
              <w:t xml:space="preserve">Không tương đồng về </w:t>
            </w:r>
            <w:r>
              <w:rPr>
                <w:rFonts w:asciiTheme="majorHAnsi" w:hAnsiTheme="majorHAnsi" w:cstheme="majorHAnsi"/>
                <w:sz w:val="22"/>
                <w:szCs w:val="22"/>
              </w:rPr>
              <w:t xml:space="preserve">nội dung </w:t>
            </w:r>
            <w:r w:rsidRPr="00546945">
              <w:rPr>
                <w:rFonts w:asciiTheme="majorHAnsi" w:hAnsiTheme="majorHAnsi" w:cstheme="majorHAnsi"/>
                <w:sz w:val="22"/>
                <w:szCs w:val="22"/>
              </w:rPr>
              <w:t>thu nên không thể thục hiện so sánh</w:t>
            </w:r>
          </w:p>
        </w:tc>
      </w:tr>
      <w:tr w:rsidR="00BB2E2F" w:rsidRPr="00B45621" w14:paraId="69D784AE" w14:textId="77777777" w:rsidTr="00897582">
        <w:trPr>
          <w:trHeight w:val="795"/>
        </w:trPr>
        <w:tc>
          <w:tcPr>
            <w:tcW w:w="227" w:type="pct"/>
            <w:shd w:val="clear" w:color="auto" w:fill="FFFFFF"/>
            <w:vAlign w:val="center"/>
          </w:tcPr>
          <w:p w14:paraId="08506C35" w14:textId="2720F326" w:rsidR="00BB2E2F" w:rsidRPr="00B45621" w:rsidRDefault="00BB2E2F" w:rsidP="00BB2E2F">
            <w:pPr>
              <w:pStyle w:val="NormalWeb"/>
              <w:shd w:val="clear" w:color="auto" w:fill="FFFFFF"/>
              <w:spacing w:before="60" w:beforeAutospacing="0" w:after="60" w:afterAutospacing="0"/>
              <w:ind w:right="144"/>
              <w:jc w:val="center"/>
              <w:rPr>
                <w:rFonts w:asciiTheme="majorHAnsi" w:hAnsiTheme="majorHAnsi" w:cstheme="majorHAnsi"/>
                <w:sz w:val="22"/>
                <w:szCs w:val="22"/>
                <w:shd w:val="clear" w:color="auto" w:fill="FFFFFF"/>
              </w:rPr>
            </w:pPr>
            <w:r w:rsidRPr="00B45621">
              <w:rPr>
                <w:rFonts w:asciiTheme="majorHAnsi" w:hAnsiTheme="majorHAnsi" w:cstheme="majorHAnsi"/>
                <w:sz w:val="22"/>
                <w:szCs w:val="22"/>
                <w:shd w:val="clear" w:color="auto" w:fill="FFFFFF"/>
              </w:rPr>
              <w:t>2</w:t>
            </w:r>
          </w:p>
        </w:tc>
        <w:tc>
          <w:tcPr>
            <w:tcW w:w="2319" w:type="pct"/>
            <w:gridSpan w:val="2"/>
            <w:shd w:val="clear" w:color="auto" w:fill="FFFFFF"/>
          </w:tcPr>
          <w:p w14:paraId="6E85E761" w14:textId="2C6F0DFC" w:rsidR="00BB2E2F" w:rsidRPr="00B45621" w:rsidRDefault="00BB2E2F" w:rsidP="00BB2E2F">
            <w:pPr>
              <w:pStyle w:val="NormalWeb"/>
              <w:shd w:val="clear" w:color="auto" w:fill="FFFFFF"/>
              <w:spacing w:before="0" w:beforeAutospacing="0" w:after="0" w:afterAutospacing="0"/>
              <w:ind w:right="141"/>
              <w:jc w:val="both"/>
              <w:rPr>
                <w:rFonts w:asciiTheme="majorHAnsi" w:hAnsiTheme="majorHAnsi" w:cstheme="majorHAnsi"/>
                <w:b/>
                <w:bCs/>
                <w:sz w:val="22"/>
                <w:szCs w:val="22"/>
              </w:rPr>
            </w:pPr>
            <w:r w:rsidRPr="00B45621">
              <w:rPr>
                <w:rFonts w:asciiTheme="majorHAnsi" w:hAnsiTheme="majorHAnsi" w:cstheme="majorHAnsi"/>
                <w:b/>
                <w:bCs/>
                <w:sz w:val="22"/>
                <w:szCs w:val="22"/>
              </w:rPr>
              <w:t xml:space="preserve"> Tỉnh Long An cũ </w:t>
            </w:r>
            <w:r w:rsidRPr="00B45621">
              <w:rPr>
                <w:rFonts w:asciiTheme="majorHAnsi" w:hAnsiTheme="majorHAnsi" w:cstheme="majorHAnsi"/>
                <w:i/>
                <w:iCs/>
                <w:sz w:val="22"/>
                <w:szCs w:val="22"/>
              </w:rPr>
              <w:t>(</w:t>
            </w:r>
            <w:r w:rsidRPr="00B45621">
              <w:rPr>
                <w:i/>
                <w:iCs/>
                <w:sz w:val="22"/>
                <w:szCs w:val="22"/>
                <w:lang w:val="nl-NL"/>
              </w:rPr>
              <w:t>Nghị quyết số 1</w:t>
            </w:r>
            <w:r>
              <w:rPr>
                <w:i/>
                <w:iCs/>
                <w:sz w:val="22"/>
                <w:szCs w:val="22"/>
                <w:lang w:val="nl-NL"/>
              </w:rPr>
              <w:t>1</w:t>
            </w:r>
            <w:r w:rsidRPr="00B45621">
              <w:rPr>
                <w:i/>
                <w:iCs/>
                <w:sz w:val="22"/>
                <w:szCs w:val="22"/>
                <w:lang w:val="nl-NL"/>
              </w:rPr>
              <w:t>/202</w:t>
            </w:r>
            <w:r>
              <w:rPr>
                <w:i/>
                <w:iCs/>
                <w:sz w:val="22"/>
                <w:szCs w:val="22"/>
                <w:lang w:val="nl-NL"/>
              </w:rPr>
              <w:t>0</w:t>
            </w:r>
            <w:r w:rsidRPr="00B45621">
              <w:rPr>
                <w:i/>
                <w:iCs/>
                <w:sz w:val="22"/>
                <w:szCs w:val="22"/>
                <w:lang w:val="nl-NL"/>
              </w:rPr>
              <w:t xml:space="preserve">/NQ-HĐND ngày </w:t>
            </w:r>
            <w:r>
              <w:rPr>
                <w:i/>
                <w:iCs/>
                <w:sz w:val="22"/>
                <w:szCs w:val="22"/>
                <w:lang w:val="nl-NL"/>
              </w:rPr>
              <w:t>09/7</w:t>
            </w:r>
            <w:r w:rsidRPr="00B45621">
              <w:rPr>
                <w:i/>
                <w:iCs/>
                <w:sz w:val="22"/>
                <w:szCs w:val="22"/>
                <w:lang w:val="nl-NL"/>
              </w:rPr>
              <w:t>/</w:t>
            </w:r>
            <w:r>
              <w:rPr>
                <w:i/>
                <w:iCs/>
                <w:sz w:val="22"/>
                <w:szCs w:val="22"/>
                <w:lang w:val="nl-NL"/>
              </w:rPr>
              <w:t>2</w:t>
            </w:r>
            <w:r w:rsidRPr="00B45621">
              <w:rPr>
                <w:i/>
                <w:iCs/>
                <w:sz w:val="22"/>
                <w:szCs w:val="22"/>
                <w:lang w:val="nl-NL"/>
              </w:rPr>
              <w:t>02</w:t>
            </w:r>
            <w:r>
              <w:rPr>
                <w:i/>
                <w:iCs/>
                <w:sz w:val="22"/>
                <w:szCs w:val="22"/>
                <w:lang w:val="nl-NL"/>
              </w:rPr>
              <w:t>0</w:t>
            </w:r>
            <w:r w:rsidRPr="00B45621">
              <w:rPr>
                <w:rFonts w:asciiTheme="majorHAnsi" w:hAnsiTheme="majorHAnsi" w:cstheme="majorHAnsi"/>
                <w:i/>
                <w:iCs/>
                <w:sz w:val="22"/>
                <w:szCs w:val="22"/>
              </w:rPr>
              <w:t>- hiện nay đang thực hiện Xây dựng lại Nghị quyết sau sáp nhập</w:t>
            </w:r>
            <w:r w:rsidRPr="00B45621">
              <w:rPr>
                <w:i/>
                <w:iCs/>
                <w:sz w:val="22"/>
                <w:szCs w:val="22"/>
                <w:lang w:val="nl-NL"/>
              </w:rPr>
              <w:t>)</w:t>
            </w:r>
          </w:p>
        </w:tc>
        <w:tc>
          <w:tcPr>
            <w:tcW w:w="1433" w:type="pct"/>
            <w:shd w:val="clear" w:color="auto" w:fill="FFFFFF"/>
            <w:vAlign w:val="center"/>
          </w:tcPr>
          <w:p w14:paraId="220A58CB" w14:textId="59B87B5E" w:rsidR="00BB2E2F" w:rsidRPr="00B45621" w:rsidRDefault="00BB2E2F" w:rsidP="00BB2E2F">
            <w:pPr>
              <w:spacing w:before="60" w:after="60"/>
              <w:ind w:right="142"/>
              <w:rPr>
                <w:rFonts w:asciiTheme="majorHAnsi" w:hAnsiTheme="majorHAnsi" w:cstheme="majorHAnsi"/>
                <w:sz w:val="22"/>
                <w:szCs w:val="22"/>
              </w:rPr>
            </w:pPr>
          </w:p>
        </w:tc>
        <w:tc>
          <w:tcPr>
            <w:tcW w:w="1021" w:type="pct"/>
            <w:shd w:val="clear" w:color="auto" w:fill="FFFFFF"/>
            <w:vAlign w:val="center"/>
          </w:tcPr>
          <w:p w14:paraId="01FD3499" w14:textId="20723DC5" w:rsidR="00BB2E2F" w:rsidRPr="00B45621" w:rsidRDefault="00BB2E2F" w:rsidP="00BB2E2F">
            <w:pPr>
              <w:spacing w:before="60" w:after="60"/>
              <w:ind w:right="138"/>
              <w:rPr>
                <w:rFonts w:asciiTheme="majorHAnsi" w:hAnsiTheme="majorHAnsi" w:cstheme="majorHAnsi"/>
                <w:sz w:val="22"/>
                <w:szCs w:val="22"/>
              </w:rPr>
            </w:pPr>
          </w:p>
        </w:tc>
      </w:tr>
      <w:tr w:rsidR="00BB2E2F" w:rsidRPr="00B45621" w14:paraId="4D90FC37" w14:textId="77777777" w:rsidTr="00897582">
        <w:trPr>
          <w:trHeight w:val="1552"/>
        </w:trPr>
        <w:tc>
          <w:tcPr>
            <w:tcW w:w="227" w:type="pct"/>
            <w:shd w:val="clear" w:color="auto" w:fill="FFFFFF"/>
          </w:tcPr>
          <w:p w14:paraId="16B541ED" w14:textId="5BA563B9" w:rsidR="00BB2E2F" w:rsidRPr="00B45621" w:rsidRDefault="00BB2E2F" w:rsidP="00BB2E2F">
            <w:pPr>
              <w:pStyle w:val="NormalWeb"/>
              <w:shd w:val="clear" w:color="auto" w:fill="FFFFFF"/>
              <w:spacing w:before="60" w:beforeAutospacing="0" w:after="60" w:afterAutospacing="0"/>
              <w:ind w:right="144"/>
              <w:jc w:val="center"/>
              <w:rPr>
                <w:rFonts w:asciiTheme="majorHAnsi" w:hAnsiTheme="majorHAnsi" w:cstheme="majorHAnsi"/>
                <w:b/>
                <w:bCs/>
                <w:sz w:val="22"/>
                <w:szCs w:val="22"/>
              </w:rPr>
            </w:pPr>
          </w:p>
        </w:tc>
        <w:tc>
          <w:tcPr>
            <w:tcW w:w="682" w:type="pct"/>
            <w:shd w:val="clear" w:color="auto" w:fill="FFFFFF"/>
          </w:tcPr>
          <w:p w14:paraId="42AEDF70" w14:textId="641D85DD" w:rsidR="00BB2E2F" w:rsidRPr="008F0841" w:rsidRDefault="00BB2E2F" w:rsidP="00BB2E2F">
            <w:pPr>
              <w:pStyle w:val="NormalWeb"/>
              <w:shd w:val="clear" w:color="auto" w:fill="FFFFFF"/>
              <w:spacing w:before="60" w:beforeAutospacing="0" w:after="60" w:afterAutospacing="0"/>
              <w:ind w:right="144"/>
              <w:jc w:val="both"/>
              <w:rPr>
                <w:rFonts w:asciiTheme="majorHAnsi" w:hAnsiTheme="majorHAnsi" w:cstheme="majorHAnsi"/>
                <w:sz w:val="22"/>
                <w:szCs w:val="22"/>
              </w:rPr>
            </w:pPr>
          </w:p>
        </w:tc>
        <w:tc>
          <w:tcPr>
            <w:tcW w:w="1637" w:type="pct"/>
            <w:shd w:val="clear" w:color="auto" w:fill="FFFFFF"/>
            <w:vAlign w:val="center"/>
          </w:tcPr>
          <w:p w14:paraId="49BEAA52" w14:textId="6165A1CE" w:rsidR="00BB2E2F" w:rsidRPr="00794825" w:rsidRDefault="00147A11" w:rsidP="00147A11">
            <w:pPr>
              <w:pStyle w:val="NormalWeb"/>
              <w:shd w:val="clear" w:color="auto" w:fill="FFFFFF"/>
              <w:spacing w:before="0" w:beforeAutospacing="0" w:after="0" w:afterAutospacing="0"/>
              <w:ind w:right="141"/>
              <w:jc w:val="both"/>
              <w:rPr>
                <w:rFonts w:asciiTheme="majorHAnsi" w:hAnsiTheme="majorHAnsi" w:cstheme="majorHAnsi"/>
                <w:sz w:val="22"/>
                <w:szCs w:val="22"/>
              </w:rPr>
            </w:pPr>
            <w:r>
              <w:rPr>
                <w:sz w:val="22"/>
                <w:szCs w:val="22"/>
              </w:rPr>
              <w:t xml:space="preserve">  </w:t>
            </w:r>
            <w:r w:rsidR="00794825" w:rsidRPr="00794825">
              <w:rPr>
                <w:sz w:val="22"/>
                <w:szCs w:val="22"/>
              </w:rPr>
              <w:t>-Mức thu cho áp dụng cho diện tích theo quy định cụ thể (Dưới 500m</w:t>
            </w:r>
            <w:r w:rsidR="00794825" w:rsidRPr="00794825">
              <w:rPr>
                <w:sz w:val="22"/>
                <w:szCs w:val="22"/>
                <w:vertAlign w:val="superscript"/>
              </w:rPr>
              <w:t>2</w:t>
            </w:r>
            <w:r w:rsidR="00794825" w:rsidRPr="00794825">
              <w:rPr>
                <w:sz w:val="22"/>
                <w:szCs w:val="22"/>
              </w:rPr>
              <w:t>;</w:t>
            </w:r>
            <w:r w:rsidR="00794825" w:rsidRPr="00794825">
              <w:rPr>
                <w:rFonts w:ascii="Arial" w:hAnsi="Arial" w:cs="Arial"/>
                <w:color w:val="000000"/>
                <w:sz w:val="22"/>
                <w:szCs w:val="22"/>
                <w:shd w:val="clear" w:color="auto" w:fill="FFFFFF"/>
              </w:rPr>
              <w:t xml:space="preserve"> </w:t>
            </w:r>
            <w:r w:rsidR="00794825" w:rsidRPr="00794825">
              <w:rPr>
                <w:sz w:val="22"/>
                <w:szCs w:val="22"/>
              </w:rPr>
              <w:t>từ 500m</w:t>
            </w:r>
            <w:r w:rsidR="00794825" w:rsidRPr="00794825">
              <w:rPr>
                <w:sz w:val="22"/>
                <w:szCs w:val="22"/>
                <w:vertAlign w:val="superscript"/>
              </w:rPr>
              <w:t>2</w:t>
            </w:r>
            <w:r w:rsidR="00794825" w:rsidRPr="00794825">
              <w:rPr>
                <w:sz w:val="22"/>
                <w:szCs w:val="22"/>
              </w:rPr>
              <w:t> trở lên; tổ chức: nhỏ hơn 1.000m</w:t>
            </w:r>
            <w:r w:rsidR="00794825" w:rsidRPr="00794825">
              <w:rPr>
                <w:sz w:val="22"/>
                <w:szCs w:val="22"/>
                <w:vertAlign w:val="superscript"/>
              </w:rPr>
              <w:t xml:space="preserve">2 </w:t>
            </w:r>
            <w:r w:rsidR="00794825" w:rsidRPr="00794825">
              <w:rPr>
                <w:sz w:val="22"/>
                <w:szCs w:val="22"/>
              </w:rPr>
              <w:t>, từ 10.000m</w:t>
            </w:r>
            <w:r w:rsidR="00794825" w:rsidRPr="00794825">
              <w:rPr>
                <w:sz w:val="22"/>
                <w:szCs w:val="22"/>
                <w:vertAlign w:val="superscript"/>
              </w:rPr>
              <w:t xml:space="preserve">2  </w:t>
            </w:r>
            <w:r w:rsidR="00794825" w:rsidRPr="00794825">
              <w:rPr>
                <w:sz w:val="22"/>
                <w:szCs w:val="22"/>
              </w:rPr>
              <w:t>đến dưới 100.000m</w:t>
            </w:r>
            <w:r w:rsidR="00794825" w:rsidRPr="00794825">
              <w:rPr>
                <w:sz w:val="22"/>
                <w:szCs w:val="22"/>
                <w:vertAlign w:val="superscript"/>
              </w:rPr>
              <w:t xml:space="preserve">2 </w:t>
            </w:r>
            <w:r w:rsidR="00794825" w:rsidRPr="00794825">
              <w:rPr>
                <w:sz w:val="22"/>
                <w:szCs w:val="22"/>
              </w:rPr>
              <w:t xml:space="preserve">, </w:t>
            </w:r>
            <w:r w:rsidR="00794825">
              <w:rPr>
                <w:sz w:val="22"/>
                <w:szCs w:val="22"/>
              </w:rPr>
              <w:t>lớn hơn</w:t>
            </w:r>
            <w:r w:rsidR="00794825" w:rsidRPr="00794825">
              <w:rPr>
                <w:sz w:val="22"/>
                <w:szCs w:val="22"/>
              </w:rPr>
              <w:t xml:space="preserve"> 100.000m</w:t>
            </w:r>
            <w:r w:rsidR="00794825" w:rsidRPr="00794825">
              <w:rPr>
                <w:sz w:val="22"/>
                <w:szCs w:val="22"/>
                <w:vertAlign w:val="superscript"/>
              </w:rPr>
              <w:t xml:space="preserve">2 </w:t>
            </w:r>
            <w:r w:rsidR="00794825" w:rsidRPr="00794825">
              <w:rPr>
                <w:sz w:val="22"/>
                <w:szCs w:val="22"/>
              </w:rPr>
              <w:t>trở lên).</w:t>
            </w:r>
          </w:p>
        </w:tc>
        <w:tc>
          <w:tcPr>
            <w:tcW w:w="1433" w:type="pct"/>
            <w:shd w:val="clear" w:color="auto" w:fill="FFFFFF"/>
            <w:vAlign w:val="center"/>
          </w:tcPr>
          <w:p w14:paraId="3298F570" w14:textId="110CBD22" w:rsidR="00BB2E2F" w:rsidRPr="00B45621" w:rsidRDefault="00BB2E2F" w:rsidP="00BB2E2F">
            <w:pPr>
              <w:spacing w:before="60" w:after="60"/>
              <w:ind w:right="142"/>
              <w:jc w:val="both"/>
              <w:rPr>
                <w:rFonts w:asciiTheme="majorHAnsi" w:hAnsiTheme="majorHAnsi" w:cstheme="majorHAnsi"/>
                <w:sz w:val="22"/>
                <w:szCs w:val="22"/>
              </w:rPr>
            </w:pPr>
          </w:p>
        </w:tc>
        <w:tc>
          <w:tcPr>
            <w:tcW w:w="1021" w:type="pct"/>
            <w:shd w:val="clear" w:color="auto" w:fill="FFFFFF"/>
            <w:vAlign w:val="center"/>
          </w:tcPr>
          <w:p w14:paraId="310CA7E0" w14:textId="36AA3C54" w:rsidR="00BB2E2F" w:rsidRPr="00B45621" w:rsidRDefault="00BB2E2F" w:rsidP="00BB2E2F">
            <w:pPr>
              <w:spacing w:before="60" w:after="60"/>
              <w:ind w:left="85" w:right="138"/>
              <w:jc w:val="both"/>
              <w:rPr>
                <w:rFonts w:asciiTheme="majorHAnsi" w:hAnsiTheme="majorHAnsi" w:cstheme="majorHAnsi"/>
                <w:sz w:val="22"/>
                <w:szCs w:val="22"/>
              </w:rPr>
            </w:pPr>
            <w:r w:rsidRPr="00546945">
              <w:rPr>
                <w:rFonts w:asciiTheme="majorHAnsi" w:hAnsiTheme="majorHAnsi" w:cstheme="majorHAnsi"/>
                <w:sz w:val="22"/>
                <w:szCs w:val="22"/>
              </w:rPr>
              <w:t xml:space="preserve">Không tương đồng về </w:t>
            </w:r>
            <w:r>
              <w:rPr>
                <w:rFonts w:asciiTheme="majorHAnsi" w:hAnsiTheme="majorHAnsi" w:cstheme="majorHAnsi"/>
                <w:sz w:val="22"/>
                <w:szCs w:val="22"/>
              </w:rPr>
              <w:t xml:space="preserve">nội dung </w:t>
            </w:r>
            <w:r w:rsidRPr="00546945">
              <w:rPr>
                <w:rFonts w:asciiTheme="majorHAnsi" w:hAnsiTheme="majorHAnsi" w:cstheme="majorHAnsi"/>
                <w:sz w:val="22"/>
                <w:szCs w:val="22"/>
              </w:rPr>
              <w:t>thu nên không thể thục hiện so sánh</w:t>
            </w:r>
          </w:p>
        </w:tc>
      </w:tr>
      <w:bookmarkEnd w:id="0"/>
    </w:tbl>
    <w:p w14:paraId="7823CD22" w14:textId="7A21B345" w:rsidR="000F78BB" w:rsidRPr="00B45621" w:rsidRDefault="000F78BB" w:rsidP="00BB343A">
      <w:pPr>
        <w:tabs>
          <w:tab w:val="left" w:pos="5415"/>
        </w:tabs>
        <w:jc w:val="left"/>
        <w:rPr>
          <w:rFonts w:asciiTheme="majorHAnsi" w:hAnsiTheme="majorHAnsi" w:cstheme="majorHAnsi"/>
          <w:sz w:val="24"/>
          <w:szCs w:val="24"/>
          <w:lang w:val="fr-FR"/>
        </w:rPr>
      </w:pPr>
    </w:p>
    <w:sectPr w:rsidR="000F78BB" w:rsidRPr="00B45621" w:rsidSect="00565CF6">
      <w:headerReference w:type="default" r:id="rId23"/>
      <w:footerReference w:type="even" r:id="rId24"/>
      <w:footerReference w:type="default" r:id="rId25"/>
      <w:footerReference w:type="first" r:id="rId26"/>
      <w:pgSz w:w="16840" w:h="11907" w:orient="landscape" w:code="9"/>
      <w:pgMar w:top="794" w:right="567" w:bottom="737" w:left="567" w:header="567" w:footer="510" w:gutter="0"/>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A8BBF" w14:textId="77777777" w:rsidR="00BC6DAC" w:rsidRDefault="00BC6DAC">
      <w:r>
        <w:separator/>
      </w:r>
    </w:p>
  </w:endnote>
  <w:endnote w:type="continuationSeparator" w:id="0">
    <w:p w14:paraId="565A2263" w14:textId="77777777" w:rsidR="00BC6DAC" w:rsidRDefault="00BC6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0ECD7" w14:textId="77777777" w:rsidR="00AC0738" w:rsidRDefault="00AC0738" w:rsidP="00AC07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F6AD510" w14:textId="77777777" w:rsidR="00AC0738" w:rsidRDefault="00AC0738" w:rsidP="00AC07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B357F" w14:textId="77777777" w:rsidR="00AC0738" w:rsidRPr="008B7206" w:rsidRDefault="002A287A" w:rsidP="002A287A">
    <w:pPr>
      <w:spacing w:line="276" w:lineRule="auto"/>
      <w:jc w:val="both"/>
    </w:pPr>
    <w:r w:rsidRPr="002A287A">
      <w:rPr>
        <w:rFonts w:eastAsia="Times New Roman"/>
        <w:sz w:val="22"/>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92A27" w14:textId="497C774F" w:rsidR="00AC0738" w:rsidRPr="00A87C1A" w:rsidRDefault="00202B04" w:rsidP="00A87C1A">
    <w:pPr>
      <w:pStyle w:val="Footer"/>
    </w:pPr>
    <w:r w:rsidRPr="00A87C1A">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B9748" w14:textId="77777777" w:rsidR="00BC6DAC" w:rsidRDefault="00BC6DAC">
      <w:r>
        <w:separator/>
      </w:r>
    </w:p>
  </w:footnote>
  <w:footnote w:type="continuationSeparator" w:id="0">
    <w:p w14:paraId="4387901F" w14:textId="77777777" w:rsidR="00BC6DAC" w:rsidRDefault="00BC6D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F3536" w14:textId="77777777" w:rsidR="00F5434B" w:rsidRPr="00572A03" w:rsidRDefault="00F5434B" w:rsidP="00F5434B">
    <w:pPr>
      <w:pStyle w:val="Header"/>
      <w:rPr>
        <w:sz w:val="26"/>
        <w:szCs w:val="26"/>
      </w:rPr>
    </w:pPr>
    <w:r w:rsidRPr="00572A03">
      <w:rPr>
        <w:sz w:val="26"/>
        <w:szCs w:val="26"/>
      </w:rPr>
      <w:fldChar w:fldCharType="begin"/>
    </w:r>
    <w:r w:rsidRPr="00572A03">
      <w:rPr>
        <w:sz w:val="26"/>
        <w:szCs w:val="26"/>
      </w:rPr>
      <w:instrText xml:space="preserve"> PAGE   \* MERGEFORMAT </w:instrText>
    </w:r>
    <w:r w:rsidRPr="00572A03">
      <w:rPr>
        <w:sz w:val="26"/>
        <w:szCs w:val="26"/>
      </w:rPr>
      <w:fldChar w:fldCharType="separate"/>
    </w:r>
    <w:r w:rsidR="00896104">
      <w:rPr>
        <w:noProof/>
        <w:sz w:val="26"/>
        <w:szCs w:val="26"/>
      </w:rPr>
      <w:t>2</w:t>
    </w:r>
    <w:r w:rsidRPr="00572A03">
      <w:rPr>
        <w:noProof/>
        <w:sz w:val="26"/>
        <w:szCs w:val="2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E1265"/>
    <w:multiLevelType w:val="hybridMultilevel"/>
    <w:tmpl w:val="BF8E2AAE"/>
    <w:lvl w:ilvl="0" w:tplc="372047F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8F125C"/>
    <w:multiLevelType w:val="hybridMultilevel"/>
    <w:tmpl w:val="FBF6A552"/>
    <w:lvl w:ilvl="0" w:tplc="D32E3B5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6F4279"/>
    <w:multiLevelType w:val="hybridMultilevel"/>
    <w:tmpl w:val="1BD66B04"/>
    <w:lvl w:ilvl="0" w:tplc="BAEA3282">
      <w:start w:val="1"/>
      <w:numFmt w:val="decimal"/>
      <w:lvlText w:val="%1."/>
      <w:lvlJc w:val="left"/>
      <w:pPr>
        <w:ind w:left="1211" w:hanging="360"/>
      </w:pPr>
      <w:rPr>
        <w:rFonts w:hint="default"/>
        <w:i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516C504C"/>
    <w:multiLevelType w:val="hybridMultilevel"/>
    <w:tmpl w:val="08F02A26"/>
    <w:lvl w:ilvl="0" w:tplc="9AB489EE">
      <w:start w:val="4"/>
      <w:numFmt w:val="bullet"/>
      <w:lvlText w:val="-"/>
      <w:lvlJc w:val="left"/>
      <w:pPr>
        <w:ind w:left="508" w:hanging="360"/>
      </w:pPr>
      <w:rPr>
        <w:rFonts w:ascii="Times New Roman" w:eastAsia="Times New Roman" w:hAnsi="Times New Roman" w:cs="Times New Roman" w:hint="default"/>
        <w:sz w:val="28"/>
      </w:rPr>
    </w:lvl>
    <w:lvl w:ilvl="1" w:tplc="04090003" w:tentative="1">
      <w:start w:val="1"/>
      <w:numFmt w:val="bullet"/>
      <w:lvlText w:val="o"/>
      <w:lvlJc w:val="left"/>
      <w:pPr>
        <w:ind w:left="1228" w:hanging="360"/>
      </w:pPr>
      <w:rPr>
        <w:rFonts w:ascii="Courier New" w:hAnsi="Courier New" w:cs="Courier New" w:hint="default"/>
      </w:rPr>
    </w:lvl>
    <w:lvl w:ilvl="2" w:tplc="04090005" w:tentative="1">
      <w:start w:val="1"/>
      <w:numFmt w:val="bullet"/>
      <w:lvlText w:val=""/>
      <w:lvlJc w:val="left"/>
      <w:pPr>
        <w:ind w:left="1948" w:hanging="360"/>
      </w:pPr>
      <w:rPr>
        <w:rFonts w:ascii="Wingdings" w:hAnsi="Wingdings" w:hint="default"/>
      </w:rPr>
    </w:lvl>
    <w:lvl w:ilvl="3" w:tplc="04090001" w:tentative="1">
      <w:start w:val="1"/>
      <w:numFmt w:val="bullet"/>
      <w:lvlText w:val=""/>
      <w:lvlJc w:val="left"/>
      <w:pPr>
        <w:ind w:left="2668" w:hanging="360"/>
      </w:pPr>
      <w:rPr>
        <w:rFonts w:ascii="Symbol" w:hAnsi="Symbol" w:hint="default"/>
      </w:rPr>
    </w:lvl>
    <w:lvl w:ilvl="4" w:tplc="04090003" w:tentative="1">
      <w:start w:val="1"/>
      <w:numFmt w:val="bullet"/>
      <w:lvlText w:val="o"/>
      <w:lvlJc w:val="left"/>
      <w:pPr>
        <w:ind w:left="3388" w:hanging="360"/>
      </w:pPr>
      <w:rPr>
        <w:rFonts w:ascii="Courier New" w:hAnsi="Courier New" w:cs="Courier New" w:hint="default"/>
      </w:rPr>
    </w:lvl>
    <w:lvl w:ilvl="5" w:tplc="04090005" w:tentative="1">
      <w:start w:val="1"/>
      <w:numFmt w:val="bullet"/>
      <w:lvlText w:val=""/>
      <w:lvlJc w:val="left"/>
      <w:pPr>
        <w:ind w:left="4108" w:hanging="360"/>
      </w:pPr>
      <w:rPr>
        <w:rFonts w:ascii="Wingdings" w:hAnsi="Wingdings" w:hint="default"/>
      </w:rPr>
    </w:lvl>
    <w:lvl w:ilvl="6" w:tplc="04090001" w:tentative="1">
      <w:start w:val="1"/>
      <w:numFmt w:val="bullet"/>
      <w:lvlText w:val=""/>
      <w:lvlJc w:val="left"/>
      <w:pPr>
        <w:ind w:left="4828" w:hanging="360"/>
      </w:pPr>
      <w:rPr>
        <w:rFonts w:ascii="Symbol" w:hAnsi="Symbol" w:hint="default"/>
      </w:rPr>
    </w:lvl>
    <w:lvl w:ilvl="7" w:tplc="04090003" w:tentative="1">
      <w:start w:val="1"/>
      <w:numFmt w:val="bullet"/>
      <w:lvlText w:val="o"/>
      <w:lvlJc w:val="left"/>
      <w:pPr>
        <w:ind w:left="5548" w:hanging="360"/>
      </w:pPr>
      <w:rPr>
        <w:rFonts w:ascii="Courier New" w:hAnsi="Courier New" w:cs="Courier New" w:hint="default"/>
      </w:rPr>
    </w:lvl>
    <w:lvl w:ilvl="8" w:tplc="04090005" w:tentative="1">
      <w:start w:val="1"/>
      <w:numFmt w:val="bullet"/>
      <w:lvlText w:val=""/>
      <w:lvlJc w:val="left"/>
      <w:pPr>
        <w:ind w:left="6268" w:hanging="360"/>
      </w:pPr>
      <w:rPr>
        <w:rFonts w:ascii="Wingdings" w:hAnsi="Wingdings" w:hint="default"/>
      </w:rPr>
    </w:lvl>
  </w:abstractNum>
  <w:abstractNum w:abstractNumId="4" w15:restartNumberingAfterBreak="0">
    <w:nsid w:val="692334D1"/>
    <w:multiLevelType w:val="hybridMultilevel"/>
    <w:tmpl w:val="2350F9E0"/>
    <w:lvl w:ilvl="0" w:tplc="50BCC03A">
      <w:start w:val="4"/>
      <w:numFmt w:val="bullet"/>
      <w:lvlText w:val="-"/>
      <w:lvlJc w:val="left"/>
      <w:pPr>
        <w:ind w:left="468" w:hanging="360"/>
      </w:pPr>
      <w:rPr>
        <w:rFonts w:ascii="Times New Roman" w:eastAsia="Times New Roman" w:hAnsi="Times New Roman" w:cs="Times New Roman"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5" w15:restartNumberingAfterBreak="0">
    <w:nsid w:val="6F2F3F13"/>
    <w:multiLevelType w:val="hybridMultilevel"/>
    <w:tmpl w:val="8F9A9B60"/>
    <w:lvl w:ilvl="0" w:tplc="BDF0297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6F7526E1"/>
    <w:multiLevelType w:val="hybridMultilevel"/>
    <w:tmpl w:val="FF2865D6"/>
    <w:lvl w:ilvl="0" w:tplc="76F650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2002400">
    <w:abstractNumId w:val="2"/>
  </w:num>
  <w:num w:numId="2" w16cid:durableId="2141531817">
    <w:abstractNumId w:val="5"/>
  </w:num>
  <w:num w:numId="3" w16cid:durableId="1997566931">
    <w:abstractNumId w:val="6"/>
  </w:num>
  <w:num w:numId="4" w16cid:durableId="733699211">
    <w:abstractNumId w:val="0"/>
  </w:num>
  <w:num w:numId="5" w16cid:durableId="103961834">
    <w:abstractNumId w:val="1"/>
  </w:num>
  <w:num w:numId="6" w16cid:durableId="756632882">
    <w:abstractNumId w:val="3"/>
  </w:num>
  <w:num w:numId="7" w16cid:durableId="5516186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738"/>
    <w:rsid w:val="0000249A"/>
    <w:rsid w:val="0000402B"/>
    <w:rsid w:val="000074E8"/>
    <w:rsid w:val="0001040F"/>
    <w:rsid w:val="00021DC7"/>
    <w:rsid w:val="00025E70"/>
    <w:rsid w:val="00036814"/>
    <w:rsid w:val="00040032"/>
    <w:rsid w:val="00042F0C"/>
    <w:rsid w:val="00044AA2"/>
    <w:rsid w:val="00053263"/>
    <w:rsid w:val="000548C7"/>
    <w:rsid w:val="00073FED"/>
    <w:rsid w:val="000753D0"/>
    <w:rsid w:val="00076D5A"/>
    <w:rsid w:val="0008545F"/>
    <w:rsid w:val="00090237"/>
    <w:rsid w:val="00093614"/>
    <w:rsid w:val="000A1C56"/>
    <w:rsid w:val="000B14FA"/>
    <w:rsid w:val="000B259C"/>
    <w:rsid w:val="000C1579"/>
    <w:rsid w:val="000C534E"/>
    <w:rsid w:val="000C7962"/>
    <w:rsid w:val="000D219D"/>
    <w:rsid w:val="000E4400"/>
    <w:rsid w:val="000E50EE"/>
    <w:rsid w:val="000F78BB"/>
    <w:rsid w:val="001069FF"/>
    <w:rsid w:val="00106B33"/>
    <w:rsid w:val="00107C22"/>
    <w:rsid w:val="00116C7F"/>
    <w:rsid w:val="0012081A"/>
    <w:rsid w:val="00137F91"/>
    <w:rsid w:val="0014374A"/>
    <w:rsid w:val="00147A11"/>
    <w:rsid w:val="0015423C"/>
    <w:rsid w:val="001653D4"/>
    <w:rsid w:val="00180F41"/>
    <w:rsid w:val="0019063B"/>
    <w:rsid w:val="0019317C"/>
    <w:rsid w:val="00196423"/>
    <w:rsid w:val="001A25E9"/>
    <w:rsid w:val="001A75C6"/>
    <w:rsid w:val="001B2E72"/>
    <w:rsid w:val="001C106F"/>
    <w:rsid w:val="001C300B"/>
    <w:rsid w:val="001C52D3"/>
    <w:rsid w:val="001C57B5"/>
    <w:rsid w:val="001C75F1"/>
    <w:rsid w:val="001D24B7"/>
    <w:rsid w:val="001E35DC"/>
    <w:rsid w:val="001E5D3B"/>
    <w:rsid w:val="001E75B3"/>
    <w:rsid w:val="00202B04"/>
    <w:rsid w:val="00203B1E"/>
    <w:rsid w:val="002046EC"/>
    <w:rsid w:val="00211014"/>
    <w:rsid w:val="00221735"/>
    <w:rsid w:val="00223CAE"/>
    <w:rsid w:val="002328D6"/>
    <w:rsid w:val="00240FE8"/>
    <w:rsid w:val="00245214"/>
    <w:rsid w:val="00245AF1"/>
    <w:rsid w:val="002478A5"/>
    <w:rsid w:val="00256AB9"/>
    <w:rsid w:val="0027365E"/>
    <w:rsid w:val="00280D82"/>
    <w:rsid w:val="00284743"/>
    <w:rsid w:val="0029052D"/>
    <w:rsid w:val="00292C76"/>
    <w:rsid w:val="00293C04"/>
    <w:rsid w:val="00295E58"/>
    <w:rsid w:val="002A287A"/>
    <w:rsid w:val="002A65AE"/>
    <w:rsid w:val="002C3845"/>
    <w:rsid w:val="002C4939"/>
    <w:rsid w:val="002C5B57"/>
    <w:rsid w:val="002D3A6B"/>
    <w:rsid w:val="002D41CD"/>
    <w:rsid w:val="002E6544"/>
    <w:rsid w:val="00303B1A"/>
    <w:rsid w:val="0030654D"/>
    <w:rsid w:val="00311E97"/>
    <w:rsid w:val="00324877"/>
    <w:rsid w:val="0033305E"/>
    <w:rsid w:val="00344D09"/>
    <w:rsid w:val="003527A0"/>
    <w:rsid w:val="003560A2"/>
    <w:rsid w:val="00356C8F"/>
    <w:rsid w:val="00357378"/>
    <w:rsid w:val="003615E7"/>
    <w:rsid w:val="0036686F"/>
    <w:rsid w:val="003673B8"/>
    <w:rsid w:val="00391F72"/>
    <w:rsid w:val="00392BDB"/>
    <w:rsid w:val="003959CB"/>
    <w:rsid w:val="00397908"/>
    <w:rsid w:val="003A2419"/>
    <w:rsid w:val="003A3CD8"/>
    <w:rsid w:val="003B51C9"/>
    <w:rsid w:val="003C769C"/>
    <w:rsid w:val="003D1422"/>
    <w:rsid w:val="003D4472"/>
    <w:rsid w:val="003D612C"/>
    <w:rsid w:val="003E69C1"/>
    <w:rsid w:val="003F0FB9"/>
    <w:rsid w:val="003F6F31"/>
    <w:rsid w:val="00400531"/>
    <w:rsid w:val="004007A9"/>
    <w:rsid w:val="00403C9D"/>
    <w:rsid w:val="00407210"/>
    <w:rsid w:val="00411110"/>
    <w:rsid w:val="00414DC5"/>
    <w:rsid w:val="00417610"/>
    <w:rsid w:val="004237ED"/>
    <w:rsid w:val="004407A2"/>
    <w:rsid w:val="00467F03"/>
    <w:rsid w:val="0047491E"/>
    <w:rsid w:val="00481B2B"/>
    <w:rsid w:val="00485B82"/>
    <w:rsid w:val="004954DD"/>
    <w:rsid w:val="00497026"/>
    <w:rsid w:val="004A18FC"/>
    <w:rsid w:val="004A47C9"/>
    <w:rsid w:val="004B442F"/>
    <w:rsid w:val="004D3551"/>
    <w:rsid w:val="004E09BE"/>
    <w:rsid w:val="004E3BDE"/>
    <w:rsid w:val="004E6567"/>
    <w:rsid w:val="004E7D2D"/>
    <w:rsid w:val="004E7EDA"/>
    <w:rsid w:val="004F3613"/>
    <w:rsid w:val="00503146"/>
    <w:rsid w:val="005057B9"/>
    <w:rsid w:val="005111C1"/>
    <w:rsid w:val="00514B01"/>
    <w:rsid w:val="00545ECA"/>
    <w:rsid w:val="00546945"/>
    <w:rsid w:val="00550FBE"/>
    <w:rsid w:val="00553583"/>
    <w:rsid w:val="00554762"/>
    <w:rsid w:val="005553AB"/>
    <w:rsid w:val="0055798C"/>
    <w:rsid w:val="00562A8C"/>
    <w:rsid w:val="00565CF6"/>
    <w:rsid w:val="00572380"/>
    <w:rsid w:val="00572A03"/>
    <w:rsid w:val="00574FAD"/>
    <w:rsid w:val="00575B0F"/>
    <w:rsid w:val="0058394B"/>
    <w:rsid w:val="00584BF2"/>
    <w:rsid w:val="00585980"/>
    <w:rsid w:val="0058712A"/>
    <w:rsid w:val="0059166F"/>
    <w:rsid w:val="00595B2D"/>
    <w:rsid w:val="005A366C"/>
    <w:rsid w:val="005A7538"/>
    <w:rsid w:val="005B2BAA"/>
    <w:rsid w:val="005B76CA"/>
    <w:rsid w:val="005B76FF"/>
    <w:rsid w:val="005C750B"/>
    <w:rsid w:val="005D2126"/>
    <w:rsid w:val="005D64A5"/>
    <w:rsid w:val="005E60EC"/>
    <w:rsid w:val="005E662B"/>
    <w:rsid w:val="005F7DBA"/>
    <w:rsid w:val="00602568"/>
    <w:rsid w:val="00607B4E"/>
    <w:rsid w:val="006108E2"/>
    <w:rsid w:val="00611F7F"/>
    <w:rsid w:val="00614876"/>
    <w:rsid w:val="006235D3"/>
    <w:rsid w:val="0062757A"/>
    <w:rsid w:val="00632256"/>
    <w:rsid w:val="0063587A"/>
    <w:rsid w:val="006362A5"/>
    <w:rsid w:val="00646D68"/>
    <w:rsid w:val="0065583C"/>
    <w:rsid w:val="00662D12"/>
    <w:rsid w:val="0066411E"/>
    <w:rsid w:val="00672FE9"/>
    <w:rsid w:val="00676497"/>
    <w:rsid w:val="00677C7C"/>
    <w:rsid w:val="00683BEA"/>
    <w:rsid w:val="0069610C"/>
    <w:rsid w:val="006C68CD"/>
    <w:rsid w:val="006D6A7F"/>
    <w:rsid w:val="006E1C53"/>
    <w:rsid w:val="006E6389"/>
    <w:rsid w:val="006F4F11"/>
    <w:rsid w:val="007129D5"/>
    <w:rsid w:val="007129F6"/>
    <w:rsid w:val="0071332D"/>
    <w:rsid w:val="00716B90"/>
    <w:rsid w:val="007233F3"/>
    <w:rsid w:val="00724AC2"/>
    <w:rsid w:val="0072787B"/>
    <w:rsid w:val="007364C2"/>
    <w:rsid w:val="00745C7D"/>
    <w:rsid w:val="0075000B"/>
    <w:rsid w:val="00751AA1"/>
    <w:rsid w:val="007545E1"/>
    <w:rsid w:val="00757CC6"/>
    <w:rsid w:val="00761457"/>
    <w:rsid w:val="00771E38"/>
    <w:rsid w:val="00783E93"/>
    <w:rsid w:val="007929BB"/>
    <w:rsid w:val="0079320A"/>
    <w:rsid w:val="00794825"/>
    <w:rsid w:val="007948E9"/>
    <w:rsid w:val="0079661E"/>
    <w:rsid w:val="007B256A"/>
    <w:rsid w:val="007B515D"/>
    <w:rsid w:val="007D2224"/>
    <w:rsid w:val="007D7A3C"/>
    <w:rsid w:val="007E3E82"/>
    <w:rsid w:val="007F0AD2"/>
    <w:rsid w:val="007F40DE"/>
    <w:rsid w:val="0081410F"/>
    <w:rsid w:val="00830436"/>
    <w:rsid w:val="008473C6"/>
    <w:rsid w:val="00856BFA"/>
    <w:rsid w:val="00860DC7"/>
    <w:rsid w:val="00865191"/>
    <w:rsid w:val="008667F2"/>
    <w:rsid w:val="00871386"/>
    <w:rsid w:val="00896104"/>
    <w:rsid w:val="00896CFD"/>
    <w:rsid w:val="00896FF3"/>
    <w:rsid w:val="00897582"/>
    <w:rsid w:val="008A1C80"/>
    <w:rsid w:val="008B22AD"/>
    <w:rsid w:val="008B5383"/>
    <w:rsid w:val="008D2D7E"/>
    <w:rsid w:val="008D4254"/>
    <w:rsid w:val="008E2AEC"/>
    <w:rsid w:val="008E65F7"/>
    <w:rsid w:val="008E6F3D"/>
    <w:rsid w:val="008E711E"/>
    <w:rsid w:val="008E719A"/>
    <w:rsid w:val="008F0841"/>
    <w:rsid w:val="008F559F"/>
    <w:rsid w:val="0090341C"/>
    <w:rsid w:val="00904E8A"/>
    <w:rsid w:val="00905D3A"/>
    <w:rsid w:val="009069A2"/>
    <w:rsid w:val="009109EC"/>
    <w:rsid w:val="00917CAD"/>
    <w:rsid w:val="0092064F"/>
    <w:rsid w:val="00923F9F"/>
    <w:rsid w:val="00935D5C"/>
    <w:rsid w:val="009552A7"/>
    <w:rsid w:val="00963B49"/>
    <w:rsid w:val="0096528B"/>
    <w:rsid w:val="00972504"/>
    <w:rsid w:val="00972542"/>
    <w:rsid w:val="00982B19"/>
    <w:rsid w:val="00985E51"/>
    <w:rsid w:val="009A1439"/>
    <w:rsid w:val="009A5542"/>
    <w:rsid w:val="009C22FC"/>
    <w:rsid w:val="009D7A48"/>
    <w:rsid w:val="009E0ED3"/>
    <w:rsid w:val="009F0164"/>
    <w:rsid w:val="009F14CB"/>
    <w:rsid w:val="009F4603"/>
    <w:rsid w:val="00A00D3F"/>
    <w:rsid w:val="00A0218E"/>
    <w:rsid w:val="00A061D1"/>
    <w:rsid w:val="00A10D35"/>
    <w:rsid w:val="00A237F7"/>
    <w:rsid w:val="00A241C3"/>
    <w:rsid w:val="00A25E64"/>
    <w:rsid w:val="00A326E1"/>
    <w:rsid w:val="00A37FD1"/>
    <w:rsid w:val="00A43948"/>
    <w:rsid w:val="00A46019"/>
    <w:rsid w:val="00A50B28"/>
    <w:rsid w:val="00A570FF"/>
    <w:rsid w:val="00A577DA"/>
    <w:rsid w:val="00A61DB9"/>
    <w:rsid w:val="00A64C92"/>
    <w:rsid w:val="00A7033B"/>
    <w:rsid w:val="00A737EE"/>
    <w:rsid w:val="00A807CC"/>
    <w:rsid w:val="00A80B4B"/>
    <w:rsid w:val="00A87C1A"/>
    <w:rsid w:val="00A922A6"/>
    <w:rsid w:val="00A93112"/>
    <w:rsid w:val="00AB5795"/>
    <w:rsid w:val="00AB61F6"/>
    <w:rsid w:val="00AC0738"/>
    <w:rsid w:val="00AC4E38"/>
    <w:rsid w:val="00AE2CA2"/>
    <w:rsid w:val="00AF5D73"/>
    <w:rsid w:val="00B07672"/>
    <w:rsid w:val="00B07CC9"/>
    <w:rsid w:val="00B23514"/>
    <w:rsid w:val="00B41218"/>
    <w:rsid w:val="00B45621"/>
    <w:rsid w:val="00B478DD"/>
    <w:rsid w:val="00B617FE"/>
    <w:rsid w:val="00B671FE"/>
    <w:rsid w:val="00B734AC"/>
    <w:rsid w:val="00B74AAF"/>
    <w:rsid w:val="00B74AF8"/>
    <w:rsid w:val="00B7790A"/>
    <w:rsid w:val="00B826F9"/>
    <w:rsid w:val="00B9094E"/>
    <w:rsid w:val="00B93646"/>
    <w:rsid w:val="00BA0A6A"/>
    <w:rsid w:val="00BA1039"/>
    <w:rsid w:val="00BB2E2F"/>
    <w:rsid w:val="00BB343A"/>
    <w:rsid w:val="00BB5A39"/>
    <w:rsid w:val="00BB5EF1"/>
    <w:rsid w:val="00BB6613"/>
    <w:rsid w:val="00BC1438"/>
    <w:rsid w:val="00BC1E21"/>
    <w:rsid w:val="00BC252A"/>
    <w:rsid w:val="00BC3A88"/>
    <w:rsid w:val="00BC6DAC"/>
    <w:rsid w:val="00BE293C"/>
    <w:rsid w:val="00BF791A"/>
    <w:rsid w:val="00C01852"/>
    <w:rsid w:val="00C04F5A"/>
    <w:rsid w:val="00C05732"/>
    <w:rsid w:val="00C124A7"/>
    <w:rsid w:val="00C35EC3"/>
    <w:rsid w:val="00C53A7D"/>
    <w:rsid w:val="00C603E8"/>
    <w:rsid w:val="00C61518"/>
    <w:rsid w:val="00C6560C"/>
    <w:rsid w:val="00C67F82"/>
    <w:rsid w:val="00C7756B"/>
    <w:rsid w:val="00CA2F60"/>
    <w:rsid w:val="00CA3479"/>
    <w:rsid w:val="00CB45B1"/>
    <w:rsid w:val="00CB5976"/>
    <w:rsid w:val="00CB5985"/>
    <w:rsid w:val="00CB7082"/>
    <w:rsid w:val="00CC4CA4"/>
    <w:rsid w:val="00CD3A00"/>
    <w:rsid w:val="00CD4055"/>
    <w:rsid w:val="00CD642A"/>
    <w:rsid w:val="00CD6A33"/>
    <w:rsid w:val="00CE5BF3"/>
    <w:rsid w:val="00CF263A"/>
    <w:rsid w:val="00CF65E8"/>
    <w:rsid w:val="00D0346B"/>
    <w:rsid w:val="00D146A4"/>
    <w:rsid w:val="00D362A4"/>
    <w:rsid w:val="00D44BDE"/>
    <w:rsid w:val="00D465DE"/>
    <w:rsid w:val="00D50678"/>
    <w:rsid w:val="00D5085B"/>
    <w:rsid w:val="00D70F88"/>
    <w:rsid w:val="00D86051"/>
    <w:rsid w:val="00D94C35"/>
    <w:rsid w:val="00D97641"/>
    <w:rsid w:val="00DA7C35"/>
    <w:rsid w:val="00DC13B5"/>
    <w:rsid w:val="00DC758E"/>
    <w:rsid w:val="00DD5557"/>
    <w:rsid w:val="00DE2A8D"/>
    <w:rsid w:val="00DE3511"/>
    <w:rsid w:val="00DF09A5"/>
    <w:rsid w:val="00E02236"/>
    <w:rsid w:val="00E06BFA"/>
    <w:rsid w:val="00E12A93"/>
    <w:rsid w:val="00E25137"/>
    <w:rsid w:val="00E25870"/>
    <w:rsid w:val="00E2764C"/>
    <w:rsid w:val="00E46ADA"/>
    <w:rsid w:val="00E603A3"/>
    <w:rsid w:val="00E77865"/>
    <w:rsid w:val="00E825A8"/>
    <w:rsid w:val="00E953D0"/>
    <w:rsid w:val="00EA7C66"/>
    <w:rsid w:val="00EC00F3"/>
    <w:rsid w:val="00ED021D"/>
    <w:rsid w:val="00ED7DD1"/>
    <w:rsid w:val="00EE3863"/>
    <w:rsid w:val="00EE3B8E"/>
    <w:rsid w:val="00EE79CA"/>
    <w:rsid w:val="00EE7A40"/>
    <w:rsid w:val="00EF06D9"/>
    <w:rsid w:val="00EF1758"/>
    <w:rsid w:val="00F05A70"/>
    <w:rsid w:val="00F255D6"/>
    <w:rsid w:val="00F33546"/>
    <w:rsid w:val="00F33D03"/>
    <w:rsid w:val="00F346B8"/>
    <w:rsid w:val="00F401B9"/>
    <w:rsid w:val="00F41931"/>
    <w:rsid w:val="00F46FCD"/>
    <w:rsid w:val="00F475A1"/>
    <w:rsid w:val="00F5434B"/>
    <w:rsid w:val="00F55B30"/>
    <w:rsid w:val="00F56A73"/>
    <w:rsid w:val="00F574E7"/>
    <w:rsid w:val="00F61445"/>
    <w:rsid w:val="00F7117E"/>
    <w:rsid w:val="00F72A16"/>
    <w:rsid w:val="00F82561"/>
    <w:rsid w:val="00F844A5"/>
    <w:rsid w:val="00F85F3A"/>
    <w:rsid w:val="00FA3B35"/>
    <w:rsid w:val="00FA76DE"/>
    <w:rsid w:val="00FC12DB"/>
    <w:rsid w:val="00FE559F"/>
    <w:rsid w:val="00FE5811"/>
    <w:rsid w:val="00FF6248"/>
    <w:rsid w:val="00FF7E8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D15A78"/>
  <w15:chartTrackingRefBased/>
  <w15:docId w15:val="{878A4142-1927-7E43-B217-55C88D3FF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1FE"/>
    <w:pPr>
      <w:jc w:val="center"/>
    </w:pPr>
    <w:rPr>
      <w:rFonts w:ascii="Times New Roman" w:hAnsi="Times New Roman"/>
      <w:sz w:val="28"/>
      <w:szCs w:val="28"/>
      <w:lang w:val="en-US" w:eastAsia="en-US"/>
    </w:rPr>
  </w:style>
  <w:style w:type="paragraph" w:styleId="Heading1">
    <w:name w:val="heading 1"/>
    <w:basedOn w:val="Normal"/>
    <w:next w:val="Normal"/>
    <w:link w:val="Heading1Char"/>
    <w:qFormat/>
    <w:rsid w:val="00AC0738"/>
    <w:pPr>
      <w:keepNext/>
      <w:jc w:val="left"/>
      <w:outlineLvl w:val="0"/>
    </w:pPr>
    <w:rPr>
      <w:rFonts w:eastAsia="Times New Roman"/>
      <w:b/>
      <w:sz w:val="26"/>
      <w:szCs w:val="20"/>
      <w:lang w:val="x-none" w:eastAsia="x-none"/>
    </w:rPr>
  </w:style>
  <w:style w:type="paragraph" w:styleId="Heading2">
    <w:name w:val="heading 2"/>
    <w:basedOn w:val="Normal"/>
    <w:next w:val="Normal"/>
    <w:link w:val="Heading2Char"/>
    <w:qFormat/>
    <w:rsid w:val="00AC0738"/>
    <w:pPr>
      <w:keepNext/>
      <w:jc w:val="left"/>
      <w:outlineLvl w:val="1"/>
    </w:pPr>
    <w:rPr>
      <w:rFonts w:eastAsia="Times New Roman"/>
      <w:i/>
      <w:sz w:val="26"/>
      <w:szCs w:val="20"/>
      <w:lang w:val="x-none" w:eastAsia="x-none"/>
    </w:rPr>
  </w:style>
  <w:style w:type="paragraph" w:styleId="Heading4">
    <w:name w:val="heading 4"/>
    <w:basedOn w:val="Normal"/>
    <w:next w:val="Normal"/>
    <w:link w:val="Heading4Char"/>
    <w:qFormat/>
    <w:rsid w:val="00AC0738"/>
    <w:pPr>
      <w:keepNext/>
      <w:outlineLvl w:val="3"/>
    </w:pPr>
    <w:rPr>
      <w:rFonts w:eastAsia="Times New Roman"/>
      <w:b/>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C0738"/>
    <w:rPr>
      <w:rFonts w:ascii="Times New Roman" w:eastAsia="Times New Roman" w:hAnsi="Times New Roman" w:cs="Times New Roman"/>
      <w:b/>
      <w:sz w:val="26"/>
      <w:szCs w:val="20"/>
    </w:rPr>
  </w:style>
  <w:style w:type="character" w:customStyle="1" w:styleId="Heading2Char">
    <w:name w:val="Heading 2 Char"/>
    <w:link w:val="Heading2"/>
    <w:rsid w:val="00AC0738"/>
    <w:rPr>
      <w:rFonts w:ascii="Times New Roman" w:eastAsia="Times New Roman" w:hAnsi="Times New Roman" w:cs="Times New Roman"/>
      <w:i/>
      <w:sz w:val="26"/>
      <w:szCs w:val="20"/>
    </w:rPr>
  </w:style>
  <w:style w:type="character" w:customStyle="1" w:styleId="Heading4Char">
    <w:name w:val="Heading 4 Char"/>
    <w:link w:val="Heading4"/>
    <w:rsid w:val="00AC0738"/>
    <w:rPr>
      <w:rFonts w:ascii="Times New Roman" w:eastAsia="Times New Roman" w:hAnsi="Times New Roman" w:cs="Times New Roman"/>
      <w:b/>
      <w:sz w:val="28"/>
      <w:szCs w:val="20"/>
    </w:rPr>
  </w:style>
  <w:style w:type="paragraph" w:styleId="BodyText">
    <w:name w:val="Body Text"/>
    <w:basedOn w:val="Normal"/>
    <w:link w:val="BodyTextChar"/>
    <w:rsid w:val="00AC0738"/>
    <w:pPr>
      <w:jc w:val="left"/>
    </w:pPr>
    <w:rPr>
      <w:rFonts w:eastAsia="Times New Roman"/>
      <w:sz w:val="20"/>
      <w:szCs w:val="24"/>
      <w:lang w:val="x-none" w:eastAsia="x-none"/>
    </w:rPr>
  </w:style>
  <w:style w:type="character" w:customStyle="1" w:styleId="BodyTextChar">
    <w:name w:val="Body Text Char"/>
    <w:link w:val="BodyText"/>
    <w:rsid w:val="00AC0738"/>
    <w:rPr>
      <w:rFonts w:ascii="Times New Roman" w:eastAsia="Times New Roman" w:hAnsi="Times New Roman" w:cs="Times New Roman"/>
      <w:sz w:val="20"/>
      <w:szCs w:val="24"/>
    </w:rPr>
  </w:style>
  <w:style w:type="paragraph" w:styleId="BodyTextIndent">
    <w:name w:val="Body Text Indent"/>
    <w:basedOn w:val="Normal"/>
    <w:link w:val="BodyTextIndentChar"/>
    <w:rsid w:val="00AC0738"/>
    <w:pPr>
      <w:spacing w:before="60" w:line="252" w:lineRule="auto"/>
      <w:ind w:firstLine="709"/>
      <w:jc w:val="both"/>
    </w:pPr>
    <w:rPr>
      <w:rFonts w:ascii=".VnTime" w:eastAsia="Times New Roman" w:hAnsi=".VnTime"/>
      <w:szCs w:val="20"/>
      <w:lang w:val="x-none" w:eastAsia="x-none"/>
    </w:rPr>
  </w:style>
  <w:style w:type="character" w:customStyle="1" w:styleId="BodyTextIndentChar">
    <w:name w:val="Body Text Indent Char"/>
    <w:link w:val="BodyTextIndent"/>
    <w:rsid w:val="00AC0738"/>
    <w:rPr>
      <w:rFonts w:ascii=".VnTime" w:eastAsia="Times New Roman" w:hAnsi=".VnTime" w:cs="Times New Roman"/>
      <w:sz w:val="28"/>
      <w:szCs w:val="20"/>
    </w:rPr>
  </w:style>
  <w:style w:type="paragraph" w:styleId="Footer">
    <w:name w:val="footer"/>
    <w:basedOn w:val="Normal"/>
    <w:link w:val="FooterChar"/>
    <w:uiPriority w:val="99"/>
    <w:rsid w:val="00AC0738"/>
    <w:pPr>
      <w:tabs>
        <w:tab w:val="center" w:pos="4320"/>
        <w:tab w:val="right" w:pos="8640"/>
      </w:tabs>
      <w:jc w:val="left"/>
    </w:pPr>
    <w:rPr>
      <w:rFonts w:eastAsia="Times New Roman"/>
      <w:sz w:val="24"/>
      <w:szCs w:val="24"/>
      <w:lang w:val="x-none" w:eastAsia="x-none"/>
    </w:rPr>
  </w:style>
  <w:style w:type="character" w:customStyle="1" w:styleId="FooterChar">
    <w:name w:val="Footer Char"/>
    <w:link w:val="Footer"/>
    <w:uiPriority w:val="99"/>
    <w:rsid w:val="00AC0738"/>
    <w:rPr>
      <w:rFonts w:ascii="Times New Roman" w:eastAsia="Times New Roman" w:hAnsi="Times New Roman" w:cs="Times New Roman"/>
      <w:sz w:val="24"/>
      <w:szCs w:val="24"/>
    </w:rPr>
  </w:style>
  <w:style w:type="character" w:styleId="PageNumber">
    <w:name w:val="page number"/>
    <w:basedOn w:val="DefaultParagraphFont"/>
    <w:rsid w:val="00AC0738"/>
  </w:style>
  <w:style w:type="paragraph" w:styleId="Header">
    <w:name w:val="header"/>
    <w:basedOn w:val="Normal"/>
    <w:link w:val="HeaderChar"/>
    <w:uiPriority w:val="99"/>
    <w:unhideWhenUsed/>
    <w:rsid w:val="008B22AD"/>
    <w:pPr>
      <w:tabs>
        <w:tab w:val="center" w:pos="4680"/>
        <w:tab w:val="right" w:pos="9360"/>
      </w:tabs>
    </w:pPr>
    <w:rPr>
      <w:lang w:val="x-none" w:eastAsia="x-none"/>
    </w:rPr>
  </w:style>
  <w:style w:type="character" w:customStyle="1" w:styleId="HeaderChar">
    <w:name w:val="Header Char"/>
    <w:link w:val="Header"/>
    <w:uiPriority w:val="99"/>
    <w:rsid w:val="008B22AD"/>
    <w:rPr>
      <w:rFonts w:ascii="Times New Roman" w:hAnsi="Times New Roman"/>
      <w:sz w:val="28"/>
      <w:szCs w:val="28"/>
    </w:rPr>
  </w:style>
  <w:style w:type="paragraph" w:styleId="BalloonText">
    <w:name w:val="Balloon Text"/>
    <w:basedOn w:val="Normal"/>
    <w:link w:val="BalloonTextChar"/>
    <w:uiPriority w:val="99"/>
    <w:semiHidden/>
    <w:unhideWhenUsed/>
    <w:rsid w:val="00116C7F"/>
    <w:rPr>
      <w:rFonts w:ascii="Tahoma" w:hAnsi="Tahoma"/>
      <w:sz w:val="16"/>
      <w:szCs w:val="16"/>
      <w:lang w:val="x-none" w:eastAsia="x-none"/>
    </w:rPr>
  </w:style>
  <w:style w:type="character" w:customStyle="1" w:styleId="BalloonTextChar">
    <w:name w:val="Balloon Text Char"/>
    <w:link w:val="BalloonText"/>
    <w:uiPriority w:val="99"/>
    <w:semiHidden/>
    <w:rsid w:val="00116C7F"/>
    <w:rPr>
      <w:rFonts w:ascii="Tahoma" w:hAnsi="Tahoma" w:cs="Tahoma"/>
      <w:sz w:val="16"/>
      <w:szCs w:val="16"/>
    </w:rPr>
  </w:style>
  <w:style w:type="character" w:styleId="CommentReference">
    <w:name w:val="annotation reference"/>
    <w:uiPriority w:val="99"/>
    <w:unhideWhenUsed/>
    <w:rsid w:val="001C300B"/>
    <w:rPr>
      <w:sz w:val="16"/>
      <w:szCs w:val="16"/>
    </w:rPr>
  </w:style>
  <w:style w:type="paragraph" w:styleId="CommentText">
    <w:name w:val="annotation text"/>
    <w:basedOn w:val="Normal"/>
    <w:link w:val="CommentTextChar"/>
    <w:uiPriority w:val="99"/>
    <w:unhideWhenUsed/>
    <w:rsid w:val="001C300B"/>
    <w:pPr>
      <w:jc w:val="left"/>
    </w:pPr>
    <w:rPr>
      <w:rFonts w:ascii="Arial" w:eastAsia="Times New Roman" w:hAnsi="Arial"/>
      <w:sz w:val="20"/>
      <w:szCs w:val="20"/>
    </w:rPr>
  </w:style>
  <w:style w:type="character" w:customStyle="1" w:styleId="CommentTextChar">
    <w:name w:val="Comment Text Char"/>
    <w:link w:val="CommentText"/>
    <w:uiPriority w:val="99"/>
    <w:rsid w:val="001C300B"/>
    <w:rPr>
      <w:rFonts w:ascii="Arial" w:eastAsia="Times New Roman" w:hAnsi="Arial"/>
    </w:rPr>
  </w:style>
  <w:style w:type="character" w:customStyle="1" w:styleId="fontstyle01">
    <w:name w:val="fontstyle01"/>
    <w:basedOn w:val="DefaultParagraphFont"/>
    <w:qFormat/>
    <w:rsid w:val="00A87C1A"/>
    <w:rPr>
      <w:rFonts w:ascii="Times New Roman" w:hAnsi="Times New Roman" w:cs="Times New Roman" w:hint="default"/>
      <w:b/>
      <w:bCs/>
      <w:color w:val="000000"/>
      <w:sz w:val="28"/>
      <w:szCs w:val="28"/>
    </w:rPr>
  </w:style>
  <w:style w:type="paragraph" w:styleId="ListParagraph">
    <w:name w:val="List Paragraph"/>
    <w:basedOn w:val="Normal"/>
    <w:uiPriority w:val="34"/>
    <w:qFormat/>
    <w:rsid w:val="00A87C1A"/>
    <w:pPr>
      <w:ind w:left="720"/>
      <w:contextualSpacing/>
    </w:pPr>
  </w:style>
  <w:style w:type="paragraph" w:styleId="NormalWeb">
    <w:name w:val="Normal (Web)"/>
    <w:basedOn w:val="Normal"/>
    <w:link w:val="NormalWebChar"/>
    <w:uiPriority w:val="99"/>
    <w:unhideWhenUsed/>
    <w:qFormat/>
    <w:rsid w:val="0096528B"/>
    <w:pPr>
      <w:spacing w:before="100" w:beforeAutospacing="1" w:after="100" w:afterAutospacing="1"/>
      <w:jc w:val="left"/>
    </w:pPr>
    <w:rPr>
      <w:rFonts w:eastAsia="Times New Roman"/>
      <w:sz w:val="24"/>
      <w:szCs w:val="24"/>
    </w:rPr>
  </w:style>
  <w:style w:type="character" w:styleId="Hyperlink">
    <w:name w:val="Hyperlink"/>
    <w:basedOn w:val="DefaultParagraphFont"/>
    <w:uiPriority w:val="99"/>
    <w:unhideWhenUsed/>
    <w:rsid w:val="0096528B"/>
    <w:rPr>
      <w:color w:val="0000FF"/>
      <w:u w:val="single"/>
    </w:rPr>
  </w:style>
  <w:style w:type="character" w:customStyle="1" w:styleId="NormalWebChar">
    <w:name w:val="Normal (Web) Char"/>
    <w:link w:val="NormalWeb"/>
    <w:uiPriority w:val="99"/>
    <w:qFormat/>
    <w:rsid w:val="00BB343A"/>
    <w:rPr>
      <w:rFonts w:ascii="Times New Roman" w:eastAsia="Times New Roman" w:hAnsi="Times New Roman"/>
      <w:sz w:val="24"/>
      <w:szCs w:val="24"/>
      <w:lang w:val="en-US" w:eastAsia="en-US"/>
    </w:rPr>
  </w:style>
  <w:style w:type="character" w:styleId="UnresolvedMention">
    <w:name w:val="Unresolved Mention"/>
    <w:basedOn w:val="DefaultParagraphFont"/>
    <w:uiPriority w:val="99"/>
    <w:semiHidden/>
    <w:unhideWhenUsed/>
    <w:rsid w:val="000B25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87379">
      <w:bodyDiv w:val="1"/>
      <w:marLeft w:val="0"/>
      <w:marRight w:val="0"/>
      <w:marTop w:val="0"/>
      <w:marBottom w:val="0"/>
      <w:divBdr>
        <w:top w:val="none" w:sz="0" w:space="0" w:color="auto"/>
        <w:left w:val="none" w:sz="0" w:space="0" w:color="auto"/>
        <w:bottom w:val="none" w:sz="0" w:space="0" w:color="auto"/>
        <w:right w:val="none" w:sz="0" w:space="0" w:color="auto"/>
      </w:divBdr>
    </w:div>
    <w:div w:id="108013636">
      <w:bodyDiv w:val="1"/>
      <w:marLeft w:val="0"/>
      <w:marRight w:val="0"/>
      <w:marTop w:val="0"/>
      <w:marBottom w:val="0"/>
      <w:divBdr>
        <w:top w:val="none" w:sz="0" w:space="0" w:color="auto"/>
        <w:left w:val="none" w:sz="0" w:space="0" w:color="auto"/>
        <w:bottom w:val="none" w:sz="0" w:space="0" w:color="auto"/>
        <w:right w:val="none" w:sz="0" w:space="0" w:color="auto"/>
      </w:divBdr>
    </w:div>
    <w:div w:id="110325869">
      <w:bodyDiv w:val="1"/>
      <w:marLeft w:val="0"/>
      <w:marRight w:val="0"/>
      <w:marTop w:val="0"/>
      <w:marBottom w:val="0"/>
      <w:divBdr>
        <w:top w:val="none" w:sz="0" w:space="0" w:color="auto"/>
        <w:left w:val="none" w:sz="0" w:space="0" w:color="auto"/>
        <w:bottom w:val="none" w:sz="0" w:space="0" w:color="auto"/>
        <w:right w:val="none" w:sz="0" w:space="0" w:color="auto"/>
      </w:divBdr>
    </w:div>
    <w:div w:id="299455166">
      <w:bodyDiv w:val="1"/>
      <w:marLeft w:val="0"/>
      <w:marRight w:val="0"/>
      <w:marTop w:val="0"/>
      <w:marBottom w:val="0"/>
      <w:divBdr>
        <w:top w:val="none" w:sz="0" w:space="0" w:color="auto"/>
        <w:left w:val="none" w:sz="0" w:space="0" w:color="auto"/>
        <w:bottom w:val="none" w:sz="0" w:space="0" w:color="auto"/>
        <w:right w:val="none" w:sz="0" w:space="0" w:color="auto"/>
      </w:divBdr>
    </w:div>
    <w:div w:id="321785043">
      <w:bodyDiv w:val="1"/>
      <w:marLeft w:val="0"/>
      <w:marRight w:val="0"/>
      <w:marTop w:val="0"/>
      <w:marBottom w:val="0"/>
      <w:divBdr>
        <w:top w:val="none" w:sz="0" w:space="0" w:color="auto"/>
        <w:left w:val="none" w:sz="0" w:space="0" w:color="auto"/>
        <w:bottom w:val="none" w:sz="0" w:space="0" w:color="auto"/>
        <w:right w:val="none" w:sz="0" w:space="0" w:color="auto"/>
      </w:divBdr>
    </w:div>
    <w:div w:id="336006560">
      <w:bodyDiv w:val="1"/>
      <w:marLeft w:val="0"/>
      <w:marRight w:val="0"/>
      <w:marTop w:val="0"/>
      <w:marBottom w:val="0"/>
      <w:divBdr>
        <w:top w:val="none" w:sz="0" w:space="0" w:color="auto"/>
        <w:left w:val="none" w:sz="0" w:space="0" w:color="auto"/>
        <w:bottom w:val="none" w:sz="0" w:space="0" w:color="auto"/>
        <w:right w:val="none" w:sz="0" w:space="0" w:color="auto"/>
      </w:divBdr>
    </w:div>
    <w:div w:id="349379317">
      <w:bodyDiv w:val="1"/>
      <w:marLeft w:val="0"/>
      <w:marRight w:val="0"/>
      <w:marTop w:val="0"/>
      <w:marBottom w:val="0"/>
      <w:divBdr>
        <w:top w:val="none" w:sz="0" w:space="0" w:color="auto"/>
        <w:left w:val="none" w:sz="0" w:space="0" w:color="auto"/>
        <w:bottom w:val="none" w:sz="0" w:space="0" w:color="auto"/>
        <w:right w:val="none" w:sz="0" w:space="0" w:color="auto"/>
      </w:divBdr>
    </w:div>
    <w:div w:id="367995807">
      <w:bodyDiv w:val="1"/>
      <w:marLeft w:val="0"/>
      <w:marRight w:val="0"/>
      <w:marTop w:val="0"/>
      <w:marBottom w:val="0"/>
      <w:divBdr>
        <w:top w:val="none" w:sz="0" w:space="0" w:color="auto"/>
        <w:left w:val="none" w:sz="0" w:space="0" w:color="auto"/>
        <w:bottom w:val="none" w:sz="0" w:space="0" w:color="auto"/>
        <w:right w:val="none" w:sz="0" w:space="0" w:color="auto"/>
      </w:divBdr>
    </w:div>
    <w:div w:id="594479550">
      <w:bodyDiv w:val="1"/>
      <w:marLeft w:val="0"/>
      <w:marRight w:val="0"/>
      <w:marTop w:val="0"/>
      <w:marBottom w:val="0"/>
      <w:divBdr>
        <w:top w:val="none" w:sz="0" w:space="0" w:color="auto"/>
        <w:left w:val="none" w:sz="0" w:space="0" w:color="auto"/>
        <w:bottom w:val="none" w:sz="0" w:space="0" w:color="auto"/>
        <w:right w:val="none" w:sz="0" w:space="0" w:color="auto"/>
      </w:divBdr>
    </w:div>
    <w:div w:id="646127342">
      <w:bodyDiv w:val="1"/>
      <w:marLeft w:val="0"/>
      <w:marRight w:val="0"/>
      <w:marTop w:val="0"/>
      <w:marBottom w:val="0"/>
      <w:divBdr>
        <w:top w:val="none" w:sz="0" w:space="0" w:color="auto"/>
        <w:left w:val="none" w:sz="0" w:space="0" w:color="auto"/>
        <w:bottom w:val="none" w:sz="0" w:space="0" w:color="auto"/>
        <w:right w:val="none" w:sz="0" w:space="0" w:color="auto"/>
      </w:divBdr>
    </w:div>
    <w:div w:id="790168110">
      <w:bodyDiv w:val="1"/>
      <w:marLeft w:val="0"/>
      <w:marRight w:val="0"/>
      <w:marTop w:val="0"/>
      <w:marBottom w:val="0"/>
      <w:divBdr>
        <w:top w:val="none" w:sz="0" w:space="0" w:color="auto"/>
        <w:left w:val="none" w:sz="0" w:space="0" w:color="auto"/>
        <w:bottom w:val="none" w:sz="0" w:space="0" w:color="auto"/>
        <w:right w:val="none" w:sz="0" w:space="0" w:color="auto"/>
      </w:divBdr>
    </w:div>
    <w:div w:id="887375122">
      <w:bodyDiv w:val="1"/>
      <w:marLeft w:val="0"/>
      <w:marRight w:val="0"/>
      <w:marTop w:val="0"/>
      <w:marBottom w:val="0"/>
      <w:divBdr>
        <w:top w:val="none" w:sz="0" w:space="0" w:color="auto"/>
        <w:left w:val="none" w:sz="0" w:space="0" w:color="auto"/>
        <w:bottom w:val="none" w:sz="0" w:space="0" w:color="auto"/>
        <w:right w:val="none" w:sz="0" w:space="0" w:color="auto"/>
      </w:divBdr>
    </w:div>
    <w:div w:id="1149399509">
      <w:bodyDiv w:val="1"/>
      <w:marLeft w:val="0"/>
      <w:marRight w:val="0"/>
      <w:marTop w:val="0"/>
      <w:marBottom w:val="0"/>
      <w:divBdr>
        <w:top w:val="none" w:sz="0" w:space="0" w:color="auto"/>
        <w:left w:val="none" w:sz="0" w:space="0" w:color="auto"/>
        <w:bottom w:val="none" w:sz="0" w:space="0" w:color="auto"/>
        <w:right w:val="none" w:sz="0" w:space="0" w:color="auto"/>
      </w:divBdr>
    </w:div>
    <w:div w:id="1225680761">
      <w:bodyDiv w:val="1"/>
      <w:marLeft w:val="0"/>
      <w:marRight w:val="0"/>
      <w:marTop w:val="0"/>
      <w:marBottom w:val="0"/>
      <w:divBdr>
        <w:top w:val="none" w:sz="0" w:space="0" w:color="auto"/>
        <w:left w:val="none" w:sz="0" w:space="0" w:color="auto"/>
        <w:bottom w:val="none" w:sz="0" w:space="0" w:color="auto"/>
        <w:right w:val="none" w:sz="0" w:space="0" w:color="auto"/>
      </w:divBdr>
    </w:div>
    <w:div w:id="1387148108">
      <w:bodyDiv w:val="1"/>
      <w:marLeft w:val="0"/>
      <w:marRight w:val="0"/>
      <w:marTop w:val="0"/>
      <w:marBottom w:val="0"/>
      <w:divBdr>
        <w:top w:val="none" w:sz="0" w:space="0" w:color="auto"/>
        <w:left w:val="none" w:sz="0" w:space="0" w:color="auto"/>
        <w:bottom w:val="none" w:sz="0" w:space="0" w:color="auto"/>
        <w:right w:val="none" w:sz="0" w:space="0" w:color="auto"/>
      </w:divBdr>
    </w:div>
    <w:div w:id="1520315165">
      <w:bodyDiv w:val="1"/>
      <w:marLeft w:val="0"/>
      <w:marRight w:val="0"/>
      <w:marTop w:val="0"/>
      <w:marBottom w:val="0"/>
      <w:divBdr>
        <w:top w:val="none" w:sz="0" w:space="0" w:color="auto"/>
        <w:left w:val="none" w:sz="0" w:space="0" w:color="auto"/>
        <w:bottom w:val="none" w:sz="0" w:space="0" w:color="auto"/>
        <w:right w:val="none" w:sz="0" w:space="0" w:color="auto"/>
      </w:divBdr>
    </w:div>
    <w:div w:id="1527864803">
      <w:bodyDiv w:val="1"/>
      <w:marLeft w:val="0"/>
      <w:marRight w:val="0"/>
      <w:marTop w:val="0"/>
      <w:marBottom w:val="0"/>
      <w:divBdr>
        <w:top w:val="none" w:sz="0" w:space="0" w:color="auto"/>
        <w:left w:val="none" w:sz="0" w:space="0" w:color="auto"/>
        <w:bottom w:val="none" w:sz="0" w:space="0" w:color="auto"/>
        <w:right w:val="none" w:sz="0" w:space="0" w:color="auto"/>
      </w:divBdr>
    </w:div>
    <w:div w:id="1539659557">
      <w:bodyDiv w:val="1"/>
      <w:marLeft w:val="0"/>
      <w:marRight w:val="0"/>
      <w:marTop w:val="0"/>
      <w:marBottom w:val="0"/>
      <w:divBdr>
        <w:top w:val="none" w:sz="0" w:space="0" w:color="auto"/>
        <w:left w:val="none" w:sz="0" w:space="0" w:color="auto"/>
        <w:bottom w:val="none" w:sz="0" w:space="0" w:color="auto"/>
        <w:right w:val="none" w:sz="0" w:space="0" w:color="auto"/>
      </w:divBdr>
    </w:div>
    <w:div w:id="1588491925">
      <w:bodyDiv w:val="1"/>
      <w:marLeft w:val="0"/>
      <w:marRight w:val="0"/>
      <w:marTop w:val="0"/>
      <w:marBottom w:val="0"/>
      <w:divBdr>
        <w:top w:val="none" w:sz="0" w:space="0" w:color="auto"/>
        <w:left w:val="none" w:sz="0" w:space="0" w:color="auto"/>
        <w:bottom w:val="none" w:sz="0" w:space="0" w:color="auto"/>
        <w:right w:val="none" w:sz="0" w:space="0" w:color="auto"/>
      </w:divBdr>
    </w:div>
    <w:div w:id="2025983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ue-Phi-Le-Phi/Luat-phi-va-le-phi-2015-298376.aspx?anchor=dieu_10" TargetMode="External"/><Relationship Id="rId13" Type="http://schemas.openxmlformats.org/officeDocument/2006/relationships/hyperlink" Target="https://thuvienphapluat.vn/van-ban/thue-phi-le-phi/nghi-dinh-120-2016-nd-cp-huong-dan-luat-phi-le-phi-320506.aspx" TargetMode="External"/><Relationship Id="rId18" Type="http://schemas.openxmlformats.org/officeDocument/2006/relationships/hyperlink" Target="https://thuvienphapluat.vn/van-ban/thue-phi-le-phi/thong-tu-106-2021-tt-btc-sua-doi-thong-tu-85-2019-tt-btc-496057.aspx"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thuvienphapluat.vn/van-ban/Thue-Phi-Le-Phi/Luat-phi-va-le-phi-2015-298376.aspx?anchor=dieu_10" TargetMode="External"/><Relationship Id="rId7" Type="http://schemas.openxmlformats.org/officeDocument/2006/relationships/endnotes" Target="endnotes.xml"/><Relationship Id="rId12" Type="http://schemas.openxmlformats.org/officeDocument/2006/relationships/hyperlink" Target="https://thuvienphapluat.vn/van-ban/Thue-Phi-Le-Phi/Luat-phi-va-le-phi-2015-298376.aspx?anchor=dieu_10" TargetMode="External"/><Relationship Id="rId17" Type="http://schemas.openxmlformats.org/officeDocument/2006/relationships/hyperlink" Target="https://thuvienphapluat.vn/van-ban/thue-phi-le-phi/thong-tu-85-2019-tt-btc-huong-dan-phi-va-le-phi-tham-quyen-quyet-dinh-hoi-dong-nhan-dan-tinh-431619.aspx"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thuvienphapluat.vn/van-ban/bat-dong-san/nghi-dinh-102-2024-nd-cp-huong-dan-luat-dat-dai-603982.aspx" TargetMode="External"/><Relationship Id="rId20" Type="http://schemas.openxmlformats.org/officeDocument/2006/relationships/hyperlink" Target="https://thuvienphapluat.vn/van-ban/bat-dong-san/thong-tu-10-2024-tt-btnmt-ho-so-dia-chinh-giay-chung-nhan-quyen-su-dung-dat-608554.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thue-phi-le-phi/nghi-dinh-120-2016-nd-cp-huong-dan-luat-phi-le-phi-320506.aspx"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thuvienphapluat.vn/van-ban/thue-phi-le-phi/nghi-dinh-120-2016-nd-cp-huong-dan-luat-phi-le-phi-320506.aspx"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thuvienphapluat.vn/van-ban/thue-phi-le-phi/nghi-dinh-82-2023-nd-cp-sua-doi-nghi-dinh-120-2016-nd-cp-huong-dan-luat-phi-va-le-phi-588621.aspx" TargetMode="External"/><Relationship Id="rId19" Type="http://schemas.openxmlformats.org/officeDocument/2006/relationships/hyperlink" Target="https://thuvienphapluat.vn/van-ban/thue-phi-le-phi/thong-tu-85-2019-tt-btc-huong-dan-phi-va-le-phi-tham-quyen-quyet-dinh-hoi-dong-nhan-dan-tinh-431619.aspx" TargetMode="External"/><Relationship Id="rId4" Type="http://schemas.openxmlformats.org/officeDocument/2006/relationships/settings" Target="settings.xml"/><Relationship Id="rId9" Type="http://schemas.openxmlformats.org/officeDocument/2006/relationships/hyperlink" Target="https://thuvienphapluat.vn/van-ban/thue-phi-le-phi/nghi-dinh-120-2016-nd-cp-huong-dan-luat-phi-le-phi-320506.aspx" TargetMode="External"/><Relationship Id="rId14" Type="http://schemas.openxmlformats.org/officeDocument/2006/relationships/hyperlink" Target="https://thuvienphapluat.vn/van-ban/thue-phi-le-phi/nghi-dinh-82-2023-nd-cp-sua-doi-nghi-dinh-120-2016-nd-cp-huong-dan-luat-phi-va-le-phi-588621.aspx" TargetMode="External"/><Relationship Id="rId22" Type="http://schemas.openxmlformats.org/officeDocument/2006/relationships/hyperlink" Target="https://thuvienphapluat.vn/van-ban/Thue-Phi-Le-Phi/Luat-phi-va-le-phi-2015-298376.aspx?anchor=dieu_10" TargetMode="External"/><Relationship Id="rId27"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DD866-3A97-4828-9B81-0A8B8974F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6</Pages>
  <Words>2264</Words>
  <Characters>12905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VPS</Company>
  <LinksUpToDate>false</LinksUpToDate>
  <CharactersWithSpaces>15139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TUAN</dc:creator>
  <cp:keywords/>
  <cp:lastModifiedBy>TRUONG THI THANH MAI</cp:lastModifiedBy>
  <cp:revision>29</cp:revision>
  <cp:lastPrinted>2026-03-31T13:57:00Z</cp:lastPrinted>
  <dcterms:created xsi:type="dcterms:W3CDTF">2026-03-23T04:38:00Z</dcterms:created>
  <dcterms:modified xsi:type="dcterms:W3CDTF">2026-03-31T14:00:00Z</dcterms:modified>
</cp:coreProperties>
</file>