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4910" w14:textId="37D44F29" w:rsidR="008E626B" w:rsidRDefault="008E626B" w:rsidP="004E6BE0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proofErr w:type="spellStart"/>
      <w:r w:rsidRPr="002B6406">
        <w:rPr>
          <w:rFonts w:ascii="Times New Roman" w:hAnsi="Times New Roman" w:cs="Times New Roman"/>
          <w:b/>
          <w:bCs/>
          <w:color w:val="EE0000"/>
          <w:sz w:val="28"/>
          <w:szCs w:val="28"/>
        </w:rPr>
        <w:t>Phụ</w:t>
      </w:r>
      <w:proofErr w:type="spellEnd"/>
      <w:r w:rsidRPr="002B640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proofErr w:type="spellStart"/>
      <w:r w:rsidRPr="002B6406">
        <w:rPr>
          <w:rFonts w:ascii="Times New Roman" w:hAnsi="Times New Roman" w:cs="Times New Roman"/>
          <w:b/>
          <w:bCs/>
          <w:color w:val="EE0000"/>
          <w:sz w:val="28"/>
          <w:szCs w:val="28"/>
        </w:rPr>
        <w:t>lục</w:t>
      </w:r>
      <w:proofErr w:type="spellEnd"/>
      <w:r w:rsidRPr="002B640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</w:p>
    <w:p w14:paraId="7C03FC01" w14:textId="6C6F93D2" w:rsidR="00AE0866" w:rsidRPr="00AE0866" w:rsidRDefault="00AE0866" w:rsidP="004E6BE0">
      <w:pPr>
        <w:jc w:val="center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(</w:t>
      </w:r>
      <w:proofErr w:type="spellStart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Kèm</w:t>
      </w:r>
      <w:proofErr w:type="spellEnd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theo</w:t>
      </w:r>
      <w:proofErr w:type="spellEnd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Báo </w:t>
      </w:r>
      <w:proofErr w:type="spellStart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cáo</w:t>
      </w:r>
      <w:proofErr w:type="spellEnd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số</w:t>
      </w:r>
      <w:proofErr w:type="spellEnd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…/BC-STP </w:t>
      </w:r>
      <w:proofErr w:type="spellStart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ngày</w:t>
      </w:r>
      <w:proofErr w:type="spellEnd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… </w:t>
      </w:r>
      <w:proofErr w:type="spellStart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tháng</w:t>
      </w:r>
      <w:proofErr w:type="spellEnd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… </w:t>
      </w:r>
      <w:proofErr w:type="spellStart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năm</w:t>
      </w:r>
      <w:proofErr w:type="spellEnd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2026 </w:t>
      </w:r>
      <w:proofErr w:type="spellStart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của</w:t>
      </w:r>
      <w:proofErr w:type="spellEnd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Sở</w:t>
      </w:r>
      <w:proofErr w:type="spellEnd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Tư</w:t>
      </w:r>
      <w:proofErr w:type="spellEnd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</w:t>
      </w:r>
      <w:proofErr w:type="spellStart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pháp</w:t>
      </w:r>
      <w:proofErr w:type="spellEnd"/>
      <w:r w:rsidRPr="00AE0866">
        <w:rPr>
          <w:rFonts w:ascii="Times New Roman" w:hAnsi="Times New Roman" w:cs="Times New Roman"/>
          <w:i/>
          <w:iCs/>
          <w:color w:val="EE0000"/>
          <w:sz w:val="28"/>
          <w:szCs w:val="28"/>
        </w:rPr>
        <w:t>)</w:t>
      </w:r>
    </w:p>
    <w:p w14:paraId="0EA4A9CE" w14:textId="0C031E27" w:rsidR="005F6346" w:rsidRPr="005F6346" w:rsidRDefault="005F6346" w:rsidP="005F63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6346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5F6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346">
        <w:rPr>
          <w:rFonts w:ascii="Times New Roman" w:hAnsi="Times New Roman" w:cs="Times New Roman"/>
          <w:b/>
          <w:bCs/>
          <w:sz w:val="28"/>
          <w:szCs w:val="28"/>
        </w:rPr>
        <w:t>trương</w:t>
      </w:r>
      <w:proofErr w:type="spellEnd"/>
      <w:r w:rsidRPr="005F634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F6346">
        <w:rPr>
          <w:rFonts w:ascii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5F6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346">
        <w:rPr>
          <w:rFonts w:ascii="Times New Roman" w:hAnsi="Times New Roman" w:cs="Times New Roman"/>
          <w:b/>
          <w:bCs/>
          <w:sz w:val="28"/>
          <w:szCs w:val="28"/>
        </w:rPr>
        <w:t>lối</w:t>
      </w:r>
      <w:proofErr w:type="spellEnd"/>
      <w:r w:rsidRPr="005F6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346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5F6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346">
        <w:rPr>
          <w:rFonts w:ascii="Times New Roman" w:hAnsi="Times New Roman" w:cs="Times New Roman"/>
          <w:b/>
          <w:bCs/>
          <w:sz w:val="28"/>
          <w:szCs w:val="28"/>
        </w:rPr>
        <w:t>Đảng</w:t>
      </w:r>
      <w:proofErr w:type="spellEnd"/>
      <w:r w:rsidRPr="005F6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346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5F6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346">
        <w:rPr>
          <w:rFonts w:ascii="Times New Roman" w:hAnsi="Times New Roman" w:cs="Times New Roman"/>
          <w:b/>
          <w:bCs/>
          <w:sz w:val="28"/>
          <w:szCs w:val="28"/>
        </w:rPr>
        <w:t>liên</w:t>
      </w:r>
      <w:proofErr w:type="spellEnd"/>
      <w:r w:rsidRPr="005F6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346">
        <w:rPr>
          <w:rFonts w:ascii="Times New Roman" w:hAnsi="Times New Roman" w:cs="Times New Roman"/>
          <w:b/>
          <w:bCs/>
          <w:sz w:val="28"/>
          <w:szCs w:val="28"/>
        </w:rPr>
        <w:t>quan</w:t>
      </w:r>
      <w:proofErr w:type="spellEnd"/>
      <w:r w:rsidRPr="005F6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346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5F6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346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5F6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346">
        <w:rPr>
          <w:rFonts w:ascii="Times New Roman" w:hAnsi="Times New Roman" w:cs="Times New Roman"/>
          <w:b/>
          <w:bCs/>
          <w:sz w:val="28"/>
          <w:szCs w:val="28"/>
        </w:rPr>
        <w:t>thảo</w:t>
      </w:r>
      <w:proofErr w:type="spellEnd"/>
    </w:p>
    <w:tbl>
      <w:tblPr>
        <w:tblStyle w:val="TableGrid"/>
        <w:tblW w:w="14459" w:type="dxa"/>
        <w:tblInd w:w="-856" w:type="dxa"/>
        <w:tblLook w:val="04A0" w:firstRow="1" w:lastRow="0" w:firstColumn="1" w:lastColumn="0" w:noHBand="0" w:noVBand="1"/>
      </w:tblPr>
      <w:tblGrid>
        <w:gridCol w:w="5954"/>
        <w:gridCol w:w="3119"/>
        <w:gridCol w:w="3260"/>
        <w:gridCol w:w="2126"/>
      </w:tblGrid>
      <w:tr w:rsidR="005F6346" w14:paraId="41555259" w14:textId="77777777" w:rsidTr="005F6346">
        <w:tc>
          <w:tcPr>
            <w:tcW w:w="5954" w:type="dxa"/>
            <w:vAlign w:val="center"/>
          </w:tcPr>
          <w:p w14:paraId="4B9B3ED4" w14:textId="65F18F38" w:rsidR="005F6346" w:rsidRDefault="005F6346" w:rsidP="005F63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QUY ĐỊNH CỦA DỰ THẢO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NGHỊ QUYẾT</w:t>
            </w:r>
          </w:p>
        </w:tc>
        <w:tc>
          <w:tcPr>
            <w:tcW w:w="3119" w:type="dxa"/>
            <w:vAlign w:val="center"/>
          </w:tcPr>
          <w:p w14:paraId="1DC62156" w14:textId="3BEC6ED3" w:rsidR="005F6346" w:rsidRDefault="005F6346" w:rsidP="005F63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TRƯƠNG, ĐƯỜNG LỐI CỦA ĐẢNG</w:t>
            </w:r>
          </w:p>
        </w:tc>
        <w:tc>
          <w:tcPr>
            <w:tcW w:w="3260" w:type="dxa"/>
            <w:vAlign w:val="center"/>
          </w:tcPr>
          <w:p w14:paraId="4B7E81B4" w14:textId="77777777" w:rsidR="005F6346" w:rsidRDefault="005F6346" w:rsidP="005F63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ĐÁNH GIÁ</w:t>
            </w:r>
          </w:p>
          <w:p w14:paraId="54F99D4F" w14:textId="2BC3381C" w:rsidR="005F6346" w:rsidRDefault="005F6346" w:rsidP="005F63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14:paraId="0714BAF7" w14:textId="4F15FA95" w:rsidR="005F6346" w:rsidRDefault="005F6346" w:rsidP="005F63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XUẤT XỬ LÝ</w:t>
            </w:r>
          </w:p>
        </w:tc>
      </w:tr>
      <w:tr w:rsidR="005F6346" w14:paraId="348D55DF" w14:textId="77777777" w:rsidTr="005F6346">
        <w:tc>
          <w:tcPr>
            <w:tcW w:w="5954" w:type="dxa"/>
          </w:tcPr>
          <w:p w14:paraId="4D7438C9" w14:textId="77777777" w:rsidR="0044314A" w:rsidRPr="00013999" w:rsidRDefault="0044314A" w:rsidP="00443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Nai.</w:t>
            </w:r>
          </w:p>
          <w:p w14:paraId="7EB35D12" w14:textId="6BAEEE2E" w:rsidR="0044314A" w:rsidRPr="00013999" w:rsidRDefault="0044314A" w:rsidP="00443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Các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6C72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16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6C72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="00516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197/2025/QH15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289/2025/NĐ-CP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197/2025/QH15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17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Quốc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4AE1DD" w14:textId="77777777" w:rsidR="0044314A" w:rsidRPr="00013999" w:rsidRDefault="0044314A" w:rsidP="00443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Nai.</w:t>
            </w:r>
          </w:p>
          <w:p w14:paraId="0144F827" w14:textId="75C7A0D1" w:rsidR="005F6346" w:rsidRDefault="0044314A" w:rsidP="004431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Các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Nai.</w:t>
            </w:r>
          </w:p>
        </w:tc>
        <w:tc>
          <w:tcPr>
            <w:tcW w:w="3119" w:type="dxa"/>
          </w:tcPr>
          <w:p w14:paraId="524D3B7D" w14:textId="387BB8AA" w:rsidR="009B34C3" w:rsidRDefault="001F3D38" w:rsidP="009B3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66-NQ/TW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30/4/2025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44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14A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="0044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14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="0044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14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44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14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44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14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="0044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14A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="0044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14A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="0044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14A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44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14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44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14A">
              <w:rPr>
                <w:rFonts w:ascii="Times New Roman" w:hAnsi="Times New Roman" w:cs="Times New Roman"/>
                <w:sz w:val="28"/>
                <w:szCs w:val="28"/>
              </w:rPr>
              <w:t>kỷ</w:t>
            </w:r>
            <w:proofErr w:type="spellEnd"/>
            <w:r w:rsidR="0044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14A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="0044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14A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</w:p>
          <w:p w14:paraId="51595D5A" w14:textId="05EC38D7" w:rsidR="009B34C3" w:rsidRPr="009B34C3" w:rsidRDefault="009B34C3" w:rsidP="009B3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</w:p>
          <w:p w14:paraId="6C5F236E" w14:textId="77777777" w:rsidR="009B34C3" w:rsidRPr="009B34C3" w:rsidRDefault="009B34C3" w:rsidP="009B3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kịp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và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DF15B8" w14:textId="77777777" w:rsidR="009B34C3" w:rsidRPr="009B34C3" w:rsidRDefault="009B34C3" w:rsidP="009B3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0F6E8" w14:textId="77777777" w:rsidR="009B34C3" w:rsidRPr="009B34C3" w:rsidRDefault="009B34C3" w:rsidP="009B3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- Bảo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0,5%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dần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. Thành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Quỹ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bạch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ngừa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ngăn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chặn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trục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lái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1CEB8F" w14:textId="77777777" w:rsidR="009B34C3" w:rsidRPr="009B34C3" w:rsidRDefault="009B34C3" w:rsidP="009B3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09F26" w14:textId="2285BF84" w:rsidR="005F6346" w:rsidRDefault="009B34C3" w:rsidP="009B34C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xứng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Ưu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lực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xứng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thù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B3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23164A60" w14:textId="4ED39533" w:rsidR="005F6346" w:rsidRPr="007378A3" w:rsidRDefault="00BC5F7D" w:rsidP="005F6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8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Dự</w:t>
            </w:r>
            <w:proofErr w:type="spellEnd"/>
            <w:r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8A3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8A3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751DC0" w:rsidRPr="007378A3">
              <w:rPr>
                <w:rFonts w:ascii="Times New Roman" w:hAnsi="Times New Roman" w:cs="Times New Roman"/>
                <w:sz w:val="28"/>
                <w:szCs w:val="28"/>
              </w:rPr>
              <w:t>ã</w:t>
            </w:r>
            <w:proofErr w:type="spellEnd"/>
            <w:r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8A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8A3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8A3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kịp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lối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7378A3" w:rsidRPr="007378A3">
              <w:rPr>
                <w:rFonts w:ascii="Times New Roman" w:hAnsi="Times New Roman" w:cs="Times New Roman"/>
                <w:sz w:val="28"/>
                <w:szCs w:val="28"/>
              </w:rPr>
              <w:t xml:space="preserve"> 66-NQ/TW </w:t>
            </w:r>
          </w:p>
        </w:tc>
        <w:tc>
          <w:tcPr>
            <w:tcW w:w="2126" w:type="dxa"/>
          </w:tcPr>
          <w:p w14:paraId="29301473" w14:textId="10AE5212" w:rsidR="005F6346" w:rsidRDefault="007378A3" w:rsidP="005F63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Đảng,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="005738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38E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57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38E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57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38E4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="0057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38E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57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38E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="0057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38E4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="0057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086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2A0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086A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2A08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A086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2A0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086A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="002A0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086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="002A0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086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="002A0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086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2A0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086A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="00211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B16929B" w14:textId="77777777" w:rsidR="005F6346" w:rsidRPr="005F6346" w:rsidRDefault="005F6346" w:rsidP="005F63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24DF9" w14:textId="79D58037" w:rsidR="004D33C6" w:rsidRPr="00B53AE3" w:rsidRDefault="005F6346" w:rsidP="00B53A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 xml:space="preserve">Văn </w:t>
      </w:r>
      <w:proofErr w:type="spellStart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>phạm</w:t>
      </w:r>
      <w:proofErr w:type="spellEnd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>luật</w:t>
      </w:r>
      <w:proofErr w:type="spellEnd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>liên</w:t>
      </w:r>
      <w:proofErr w:type="spellEnd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>quan</w:t>
      </w:r>
      <w:proofErr w:type="spellEnd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3AE3" w:rsidRPr="00B53AE3">
        <w:rPr>
          <w:rFonts w:ascii="Times New Roman" w:hAnsi="Times New Roman" w:cs="Times New Roman"/>
          <w:b/>
          <w:bCs/>
          <w:sz w:val="28"/>
          <w:szCs w:val="28"/>
        </w:rPr>
        <w:t>thảo</w:t>
      </w:r>
      <w:proofErr w:type="spellEnd"/>
    </w:p>
    <w:tbl>
      <w:tblPr>
        <w:tblStyle w:val="TableGrid"/>
        <w:tblW w:w="14459" w:type="dxa"/>
        <w:tblInd w:w="-856" w:type="dxa"/>
        <w:tblLook w:val="04A0" w:firstRow="1" w:lastRow="0" w:firstColumn="1" w:lastColumn="0" w:noHBand="0" w:noVBand="1"/>
      </w:tblPr>
      <w:tblGrid>
        <w:gridCol w:w="5954"/>
        <w:gridCol w:w="3119"/>
        <w:gridCol w:w="3260"/>
        <w:gridCol w:w="2126"/>
      </w:tblGrid>
      <w:tr w:rsidR="00BB45B2" w14:paraId="4F0B8AA3" w14:textId="3038FCDE" w:rsidTr="005F6346">
        <w:tc>
          <w:tcPr>
            <w:tcW w:w="5954" w:type="dxa"/>
            <w:vAlign w:val="center"/>
          </w:tcPr>
          <w:p w14:paraId="3A872A91" w14:textId="3264D040" w:rsidR="0047436C" w:rsidRDefault="00BB45B2" w:rsidP="004155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QUY ĐỊNH CỦA DỰ THẢO </w:t>
            </w:r>
            <w:r w:rsidR="005F6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NGHỊ QUYẾT</w:t>
            </w:r>
          </w:p>
        </w:tc>
        <w:tc>
          <w:tcPr>
            <w:tcW w:w="3119" w:type="dxa"/>
            <w:vAlign w:val="center"/>
          </w:tcPr>
          <w:p w14:paraId="6E78BEFC" w14:textId="26A10F5C" w:rsidR="0047436C" w:rsidRDefault="00BB45B2" w:rsidP="004155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 ĐỊNH CỦA PHÁP LUẬT HIỆN HÀNH CÓ LIÊN QUAN</w:t>
            </w:r>
          </w:p>
        </w:tc>
        <w:tc>
          <w:tcPr>
            <w:tcW w:w="3260" w:type="dxa"/>
            <w:vAlign w:val="center"/>
          </w:tcPr>
          <w:p w14:paraId="7A5AA4E7" w14:textId="77777777" w:rsidR="0047436C" w:rsidRDefault="00BB45B2" w:rsidP="004155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ĐÁNH GIÁ</w:t>
            </w:r>
          </w:p>
          <w:p w14:paraId="2943C03C" w14:textId="50629898" w:rsidR="00BB45B2" w:rsidRDefault="00BB45B2" w:rsidP="004155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hiến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14:paraId="27328CD9" w14:textId="3A64F5D7" w:rsidR="0047436C" w:rsidRDefault="00BB45B2" w:rsidP="004155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XUẤT XỬ LÝ</w:t>
            </w:r>
          </w:p>
        </w:tc>
      </w:tr>
      <w:tr w:rsidR="00BB45B2" w14:paraId="23110940" w14:textId="4617A220" w:rsidTr="005F6346">
        <w:trPr>
          <w:trHeight w:val="644"/>
        </w:trPr>
        <w:tc>
          <w:tcPr>
            <w:tcW w:w="5954" w:type="dxa"/>
            <w:vAlign w:val="center"/>
          </w:tcPr>
          <w:p w14:paraId="7D7ECA2D" w14:textId="297F84D1" w:rsidR="00013999" w:rsidRPr="006E54BB" w:rsidRDefault="00013999" w:rsidP="006E5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Phạm vi </w:t>
            </w:r>
            <w:proofErr w:type="spellStart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điều</w:t>
            </w:r>
            <w:proofErr w:type="spellEnd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chỉnh</w:t>
            </w:r>
            <w:proofErr w:type="spellEnd"/>
          </w:p>
          <w:p w14:paraId="041F2E57" w14:textId="477538EF" w:rsidR="00013999" w:rsidRPr="00013999" w:rsidRDefault="006F70F1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E5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Nai.</w:t>
            </w:r>
          </w:p>
          <w:p w14:paraId="3B417B2D" w14:textId="14D368EF" w:rsidR="00013999" w:rsidRPr="00013999" w:rsidRDefault="00013999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Các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197/2025/QH15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289/2025/NĐ-CP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197/2025/QH15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17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Quốc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1F3055" w14:textId="30EC4643" w:rsidR="00013999" w:rsidRPr="006F70F1" w:rsidRDefault="00013999" w:rsidP="006E5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F7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Đối</w:t>
            </w:r>
            <w:proofErr w:type="spellEnd"/>
            <w:r w:rsidRPr="006F7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7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tượng</w:t>
            </w:r>
            <w:proofErr w:type="spellEnd"/>
            <w:r w:rsidRPr="006F7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7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áp</w:t>
            </w:r>
            <w:proofErr w:type="spellEnd"/>
            <w:r w:rsidRPr="006F7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7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</w:p>
          <w:p w14:paraId="798E158D" w14:textId="6E4D7DA3" w:rsidR="00013999" w:rsidRPr="00013999" w:rsidRDefault="006F70F1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013999"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Nai.</w:t>
            </w:r>
          </w:p>
          <w:p w14:paraId="08D26862" w14:textId="2DD9BA78" w:rsidR="0047436C" w:rsidRPr="004155A8" w:rsidRDefault="00013999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Các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13999">
              <w:rPr>
                <w:rFonts w:ascii="Times New Roman" w:hAnsi="Times New Roman" w:cs="Times New Roman"/>
                <w:sz w:val="28"/>
                <w:szCs w:val="28"/>
              </w:rPr>
              <w:t xml:space="preserve"> Nai.</w:t>
            </w:r>
          </w:p>
        </w:tc>
        <w:tc>
          <w:tcPr>
            <w:tcW w:w="3119" w:type="dxa"/>
            <w:vAlign w:val="center"/>
          </w:tcPr>
          <w:p w14:paraId="04F549DA" w14:textId="77777777" w:rsidR="0047436C" w:rsidRDefault="00BB54E2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DD4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DB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DD4DBF">
              <w:rPr>
                <w:rFonts w:ascii="Times New Roman" w:hAnsi="Times New Roman" w:cs="Times New Roman"/>
                <w:sz w:val="28"/>
                <w:szCs w:val="28"/>
              </w:rPr>
              <w:t xml:space="preserve"> 64/2025/QH15 </w:t>
            </w:r>
            <w:proofErr w:type="spellStart"/>
            <w:r w:rsidR="00DD4DB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DD4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DBF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="00DD4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DBF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="00DD4D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D4DBF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="00DD4DBF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="00DD4DBF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proofErr w:type="spellEnd"/>
            <w:r w:rsidR="00DD4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DB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DD4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4DB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DD4DBF">
              <w:rPr>
                <w:rFonts w:ascii="Times New Roman" w:hAnsi="Times New Roman" w:cs="Times New Roman"/>
                <w:sz w:val="28"/>
                <w:szCs w:val="28"/>
              </w:rPr>
              <w:t xml:space="preserve"> 87/2025/QH15;</w:t>
            </w:r>
          </w:p>
          <w:p w14:paraId="1CEDAC6C" w14:textId="77777777" w:rsidR="00DD4DBF" w:rsidRDefault="00507730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proofErr w:type="spellStart"/>
            <w:r w:rsidR="00085275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="00085275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085275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08527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BC32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C32D3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BC32D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="00BC32D3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="00BC32D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BC32D3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BC32D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597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A9E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="00597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A9E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="00597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A9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597A9E">
              <w:rPr>
                <w:rFonts w:ascii="Times New Roman" w:hAnsi="Times New Roman" w:cs="Times New Roman"/>
                <w:sz w:val="28"/>
                <w:szCs w:val="28"/>
              </w:rPr>
              <w:t xml:space="preserve"> 197/2025/QH15</w:t>
            </w:r>
            <w:r w:rsid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DB2" w:rsidRPr="009A5DB2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9A5D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FB30ED" w14:textId="36BC72E1" w:rsidR="009A5DB2" w:rsidRPr="004155A8" w:rsidRDefault="002662A2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289/2025/NĐ-CP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quyết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197/2025/QH15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17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Quốc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BB2EA4" w:rsidRPr="00BB2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14:paraId="0117D7AE" w14:textId="77777777" w:rsidR="0047436C" w:rsidRDefault="00BB2EA4" w:rsidP="006E54BB">
            <w:pPr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64/2025/QH15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87/2025/QH1</w:t>
            </w:r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A325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90A5D9" w14:textId="6487272A" w:rsidR="00A325B9" w:rsidRPr="004155A8" w:rsidRDefault="00A325B9" w:rsidP="006E54BB">
            <w:pPr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041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150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0413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150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0413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="00150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0413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150413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150413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="00150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041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150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0413">
              <w:rPr>
                <w:rFonts w:ascii="Times New Roman" w:hAnsi="Times New Roman" w:cs="Times New Roman"/>
                <w:sz w:val="28"/>
                <w:szCs w:val="28"/>
              </w:rPr>
              <w:t>hiến</w:t>
            </w:r>
            <w:proofErr w:type="spellEnd"/>
            <w:r w:rsidR="00150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041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150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041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150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041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150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041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1504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14:paraId="0537670D" w14:textId="330201F0" w:rsidR="0047436C" w:rsidRPr="004155A8" w:rsidRDefault="00150413" w:rsidP="006E54BB">
            <w:pPr>
              <w:pStyle w:val="ListParagraph"/>
              <w:tabs>
                <w:tab w:val="left" w:pos="1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1D3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314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1D3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3146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="001D3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3146">
              <w:rPr>
                <w:rFonts w:ascii="Times New Roman" w:hAnsi="Times New Roman" w:cs="Times New Roman"/>
                <w:sz w:val="28"/>
                <w:szCs w:val="28"/>
              </w:rPr>
              <w:t>ương</w:t>
            </w:r>
            <w:proofErr w:type="spellEnd"/>
            <w:r w:rsidR="001D3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3146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1D3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3146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="001D3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3146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="001D3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D3146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</w:tr>
      <w:tr w:rsidR="00E15C50" w14:paraId="76AED1B0" w14:textId="77777777" w:rsidTr="005F6346">
        <w:trPr>
          <w:trHeight w:val="644"/>
        </w:trPr>
        <w:tc>
          <w:tcPr>
            <w:tcW w:w="5954" w:type="dxa"/>
            <w:vAlign w:val="center"/>
          </w:tcPr>
          <w:p w14:paraId="63846E76" w14:textId="77777777" w:rsidR="00E15C50" w:rsidRPr="006E54BB" w:rsidRDefault="00E15C50" w:rsidP="006E5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Nguyên </w:t>
            </w:r>
            <w:proofErr w:type="spellStart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tắc</w:t>
            </w:r>
            <w:proofErr w:type="spellEnd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quản</w:t>
            </w:r>
            <w:proofErr w:type="spellEnd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lý</w:t>
            </w:r>
            <w:proofErr w:type="spellEnd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sử</w:t>
            </w:r>
            <w:proofErr w:type="spellEnd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kinh</w:t>
            </w:r>
            <w:proofErr w:type="spellEnd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E54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phí</w:t>
            </w:r>
            <w:proofErr w:type="spellEnd"/>
          </w:p>
          <w:p w14:paraId="6A8E8A9E" w14:textId="77777777" w:rsidR="00E15C50" w:rsidRPr="004E60BD" w:rsidRDefault="00E15C50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197/2025/QH15,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4,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289/2025/NĐ-CP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68C2DC" w14:textId="77777777" w:rsidR="00E15C50" w:rsidRPr="004E60BD" w:rsidRDefault="00E15C50" w:rsidP="00EC341D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086E9A" w14:textId="77777777" w:rsidR="00E15C50" w:rsidRPr="004E60BD" w:rsidRDefault="00E15C50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Ngân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; Kho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nước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434CEB" w14:textId="3587ED60" w:rsidR="00E15C50" w:rsidRPr="004155A8" w:rsidRDefault="00E15C50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4E6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0EEACBDC" w14:textId="471276D0" w:rsidR="00E15C50" w:rsidRPr="004155A8" w:rsidRDefault="00E15C50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197/2025/QH15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289/2025/NĐ-CP</w:t>
            </w:r>
          </w:p>
        </w:tc>
        <w:tc>
          <w:tcPr>
            <w:tcW w:w="3260" w:type="dxa"/>
            <w:vAlign w:val="center"/>
          </w:tcPr>
          <w:p w14:paraId="609B6D65" w14:textId="7022AD27" w:rsidR="00E15C50" w:rsidRPr="004155A8" w:rsidRDefault="00E15C50" w:rsidP="006E54BB">
            <w:pPr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2126" w:type="dxa"/>
            <w:vAlign w:val="center"/>
          </w:tcPr>
          <w:p w14:paraId="45C0978E" w14:textId="641BC42A" w:rsidR="00E15C50" w:rsidRPr="007D54F1" w:rsidRDefault="00E15C50" w:rsidP="006E54BB">
            <w:pPr>
              <w:tabs>
                <w:tab w:val="left" w:pos="1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ương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</w:tr>
      <w:tr w:rsidR="00981647" w14:paraId="62C9F668" w14:textId="77777777" w:rsidTr="005F6346">
        <w:trPr>
          <w:trHeight w:val="644"/>
        </w:trPr>
        <w:tc>
          <w:tcPr>
            <w:tcW w:w="5954" w:type="dxa"/>
            <w:vAlign w:val="center"/>
          </w:tcPr>
          <w:p w14:paraId="45F5C461" w14:textId="77777777" w:rsidR="00981647" w:rsidRPr="000F2A34" w:rsidRDefault="00981647" w:rsidP="006E5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bổ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kinh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phí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dung,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khoán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khoán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đối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xây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dựng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thiện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chính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sách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mới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hoặc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thay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thế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thuộc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quyền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tịch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Ủy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ban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tỉnh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Hội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Ủy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ban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</w:t>
            </w:r>
            <w:proofErr w:type="spellEnd"/>
          </w:p>
          <w:p w14:paraId="007BA6F7" w14:textId="77777777" w:rsidR="00981647" w:rsidRPr="00DC2533" w:rsidRDefault="00981647" w:rsidP="006E54BB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2C11086" w14:textId="77777777" w:rsidR="00981647" w:rsidRPr="00DC2533" w:rsidRDefault="00981647" w:rsidP="006E54BB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: 250.000.000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A3A066" w14:textId="77777777" w:rsidR="00981647" w:rsidRPr="00DC2533" w:rsidRDefault="00981647" w:rsidP="006E54BB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: 100.000.000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</w:p>
          <w:p w14:paraId="174D457B" w14:textId="77777777" w:rsidR="00981647" w:rsidRPr="00DC2533" w:rsidRDefault="00981647" w:rsidP="006E54BB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: 30.000.000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6F485E" w14:textId="77777777" w:rsidR="00981647" w:rsidRPr="00DC2533" w:rsidRDefault="00981647" w:rsidP="006E54BB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: 10.000.000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/01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37F8F7" w14:textId="77777777" w:rsidR="00981647" w:rsidRPr="00DC2533" w:rsidRDefault="00981647" w:rsidP="006E54BB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đ)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: 8.000.000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/01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</w:p>
          <w:p w14:paraId="00570C21" w14:textId="77777777" w:rsidR="00981647" w:rsidRPr="00DC2533" w:rsidRDefault="00981647" w:rsidP="006E54BB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a, b, c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hiện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I,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II ban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01B3FF" w14:textId="77777777" w:rsidR="00981647" w:rsidRPr="000F2A34" w:rsidRDefault="00981647" w:rsidP="006E5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khoản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đối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tại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d, đ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khoản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Điều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này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Hội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xã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Ủy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ban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xã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dựa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trên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khả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đối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ngân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sách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quyền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ban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tình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tế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phương</w:t>
            </w:r>
            <w:proofErr w:type="spellEnd"/>
            <w:r w:rsidRPr="000F2A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893EFC6" w14:textId="77777777" w:rsidR="000F2A34" w:rsidRPr="000F2A34" w:rsidRDefault="000F2A34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6234BA" w14:textId="77777777" w:rsidR="000F2A34" w:rsidRPr="000F2A34" w:rsidRDefault="000F2A34" w:rsidP="00EC341D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Trường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88DAD72" w14:textId="77777777" w:rsidR="000F2A34" w:rsidRPr="000F2A34" w:rsidRDefault="000F2A34" w:rsidP="00EC341D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Văn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02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soạn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rà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I,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II ban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43BB38" w14:textId="77777777" w:rsidR="000F2A34" w:rsidRPr="000F2A34" w:rsidRDefault="000F2A34" w:rsidP="00EC341D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Văn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60%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Nghị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60%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soạn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rà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I,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II ban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7720DC9" w14:textId="77777777" w:rsidR="000F2A34" w:rsidRPr="000F2A34" w:rsidRDefault="000F2A34" w:rsidP="00EC341D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Trường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bãi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bãi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30%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30%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soạn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rà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I,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II ban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D87CBEF" w14:textId="77777777" w:rsidR="000F2A34" w:rsidRPr="000F2A34" w:rsidRDefault="000F2A34" w:rsidP="00EC341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soạn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rà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(ở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Văn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ở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Văn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cứ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I,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II ban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I,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II ban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AF5263" w14:textId="6DA76996" w:rsidR="000F2A34" w:rsidRPr="004155A8" w:rsidRDefault="000F2A34" w:rsidP="00EC341D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Trường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dừng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dứt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dừng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dứt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I,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II ban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</w:p>
        </w:tc>
        <w:tc>
          <w:tcPr>
            <w:tcW w:w="3119" w:type="dxa"/>
            <w:vAlign w:val="center"/>
          </w:tcPr>
          <w:p w14:paraId="4E712C44" w14:textId="77777777" w:rsidR="00981647" w:rsidRDefault="00981647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5A7211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5A7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211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5A7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21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A7211">
              <w:rPr>
                <w:rFonts w:ascii="Times New Roman" w:hAnsi="Times New Roman" w:cs="Times New Roman"/>
                <w:sz w:val="28"/>
                <w:szCs w:val="28"/>
              </w:rPr>
              <w:t xml:space="preserve"> 197/2025/QH15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II b</w:t>
            </w:r>
            <w:r w:rsidRPr="005A7211">
              <w:rPr>
                <w:rFonts w:ascii="Times New Roman" w:hAnsi="Times New Roman" w:cs="Times New Roman"/>
                <w:sz w:val="28"/>
                <w:szCs w:val="28"/>
              </w:rPr>
              <w:t xml:space="preserve">an hành kèm theo </w:t>
            </w:r>
            <w:proofErr w:type="spellStart"/>
            <w:r w:rsidRPr="005A7211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5A7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211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5A7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21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A7211">
              <w:rPr>
                <w:rFonts w:ascii="Times New Roman" w:hAnsi="Times New Roman" w:cs="Times New Roman"/>
                <w:sz w:val="28"/>
                <w:szCs w:val="28"/>
              </w:rPr>
              <w:t xml:space="preserve"> 197/2025/QH15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FF866C5" w14:textId="79DA9BD9" w:rsidR="00981647" w:rsidRPr="004155A8" w:rsidRDefault="00981647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2, 4, 5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289/2025/NĐ-CP</w:t>
            </w:r>
          </w:p>
        </w:tc>
        <w:tc>
          <w:tcPr>
            <w:tcW w:w="3260" w:type="dxa"/>
            <w:vAlign w:val="center"/>
          </w:tcPr>
          <w:p w14:paraId="778B865A" w14:textId="02C3746E" w:rsidR="00981647" w:rsidRPr="004155A8" w:rsidRDefault="00981647" w:rsidP="006E54BB">
            <w:pPr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2126" w:type="dxa"/>
            <w:vAlign w:val="center"/>
          </w:tcPr>
          <w:p w14:paraId="3EAE3563" w14:textId="2B832056" w:rsidR="00981647" w:rsidRPr="004155A8" w:rsidRDefault="00981647" w:rsidP="006E54BB">
            <w:pPr>
              <w:pStyle w:val="ListParagraph"/>
              <w:tabs>
                <w:tab w:val="left" w:pos="1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ương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</w:tr>
      <w:tr w:rsidR="00B41DAC" w14:paraId="24AF5D1C" w14:textId="77777777" w:rsidTr="005F6346">
        <w:trPr>
          <w:trHeight w:val="644"/>
        </w:trPr>
        <w:tc>
          <w:tcPr>
            <w:tcW w:w="5954" w:type="dxa"/>
            <w:vAlign w:val="center"/>
          </w:tcPr>
          <w:p w14:paraId="7FE8B7EB" w14:textId="77777777" w:rsidR="00B41DAC" w:rsidRPr="00EC341D" w:rsidRDefault="00B41DAC" w:rsidP="006E5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Kinh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phí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  <w:p w14:paraId="1DE4BF8A" w14:textId="77777777" w:rsidR="00B41DAC" w:rsidRPr="000F2A34" w:rsidRDefault="00B41DAC" w:rsidP="00EC341D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Ngân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94CCB3" w14:textId="77777777" w:rsidR="00B41DAC" w:rsidRPr="000F2A34" w:rsidRDefault="00B41DAC" w:rsidP="00EC341D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Trường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soạn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kịp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7DD860" w14:textId="77777777" w:rsidR="00B41DAC" w:rsidRPr="000F2A34" w:rsidRDefault="00B41DAC" w:rsidP="00EC341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Trường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). Trường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E2C3B3" w14:textId="77777777" w:rsidR="00B41DAC" w:rsidRPr="000F2A34" w:rsidRDefault="00B41DAC" w:rsidP="00EC341D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Trường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24BC32" w14:textId="6A7A8849" w:rsidR="00B41DAC" w:rsidRPr="004155A8" w:rsidRDefault="00B41DAC" w:rsidP="00EC341D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F2A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F2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142F6318" w14:textId="77777777" w:rsid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197/2025/QH15</w:t>
            </w:r>
          </w:p>
          <w:p w14:paraId="6254C1F9" w14:textId="3736A160" w:rsid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289/2025/NĐ-CP</w:t>
            </w:r>
          </w:p>
        </w:tc>
        <w:tc>
          <w:tcPr>
            <w:tcW w:w="3260" w:type="dxa"/>
            <w:vAlign w:val="center"/>
          </w:tcPr>
          <w:p w14:paraId="68A25861" w14:textId="3DB67E27" w:rsidR="00B41DAC" w:rsidRPr="004155A8" w:rsidRDefault="00B41DAC" w:rsidP="006E54BB">
            <w:pPr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2126" w:type="dxa"/>
            <w:vAlign w:val="center"/>
          </w:tcPr>
          <w:p w14:paraId="372562CC" w14:textId="1D127D54" w:rsidR="00B41DAC" w:rsidRPr="004155A8" w:rsidRDefault="00B41DAC" w:rsidP="006E54BB">
            <w:pPr>
              <w:pStyle w:val="ListParagraph"/>
              <w:tabs>
                <w:tab w:val="left" w:pos="1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ương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</w:tr>
      <w:tr w:rsidR="00B41DAC" w14:paraId="306C2D27" w14:textId="77777777" w:rsidTr="005F6346">
        <w:trPr>
          <w:trHeight w:val="644"/>
        </w:trPr>
        <w:tc>
          <w:tcPr>
            <w:tcW w:w="5954" w:type="dxa"/>
            <w:vAlign w:val="center"/>
          </w:tcPr>
          <w:p w14:paraId="7CD03893" w14:textId="77777777" w:rsidR="00B41DAC" w:rsidRPr="00EC341D" w:rsidRDefault="00B41DAC" w:rsidP="006E5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toán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quản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lý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sử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quyết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toán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kinh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phí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ngân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sách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nước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bảo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đảm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cho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xây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dựng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luật</w:t>
            </w:r>
            <w:proofErr w:type="spellEnd"/>
          </w:p>
          <w:p w14:paraId="5B176932" w14:textId="77777777" w:rsidR="00B41DAC" w:rsidRP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289/2025/NĐ-CP,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Ngân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2B7E81" w14:textId="77777777" w:rsidR="00B41DAC" w:rsidRP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Hằng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căn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cứ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I ở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ban,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Ngân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A0DE73" w14:textId="77777777" w:rsidR="00B41DAC" w:rsidRP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b)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Căn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cứ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I ở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Kho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82B57A" w14:textId="77777777" w:rsidR="00B41DAC" w:rsidRP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2. Thanh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</w:p>
          <w:p w14:paraId="0278B8AE" w14:textId="77777777" w:rsidR="00B41DAC" w:rsidRP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3,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289/2025/NĐ-CP. Trong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2 ban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5196E4" w14:textId="77777777" w:rsidR="00B41DAC" w:rsidRP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16A511" w14:textId="77777777" w:rsidR="00B41DAC" w:rsidRP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C72783" w14:textId="77777777" w:rsidR="00B41DAC" w:rsidRP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Hội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1 ban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43981D" w14:textId="77777777" w:rsidR="00B41DAC" w:rsidRPr="00B41DAC" w:rsidRDefault="00B41DAC" w:rsidP="00EC341D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4. Trường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Danh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I,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2F9456" w14:textId="77777777" w:rsidR="00B41DAC" w:rsidRP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5. Trường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dung chi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197/2025/QH15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liệu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5A6E33" w14:textId="77777777" w:rsidR="00B41DAC" w:rsidRP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dung chi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197/2025/QH15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khung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II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93C1D4" w14:textId="3B4274E4" w:rsidR="00B41DAC" w:rsidRPr="004155A8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dung chi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1D7FC6DF" w14:textId="3335D083" w:rsidR="00B41DAC" w:rsidRDefault="00B41DAC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289/2025/NĐ-CP,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Ngân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3260" w:type="dxa"/>
            <w:vAlign w:val="center"/>
          </w:tcPr>
          <w:p w14:paraId="49FD1F5E" w14:textId="5AD240C2" w:rsidR="00B41DAC" w:rsidRPr="004155A8" w:rsidRDefault="00B41DAC" w:rsidP="006E54BB">
            <w:pPr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2126" w:type="dxa"/>
            <w:vAlign w:val="center"/>
          </w:tcPr>
          <w:p w14:paraId="0EA9487F" w14:textId="4F0B31A3" w:rsidR="00B41DAC" w:rsidRPr="004155A8" w:rsidRDefault="00B41DAC" w:rsidP="006E54BB">
            <w:pPr>
              <w:pStyle w:val="ListParagraph"/>
              <w:tabs>
                <w:tab w:val="left" w:pos="1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ương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</w:tr>
      <w:tr w:rsidR="00113A75" w14:paraId="1F643876" w14:textId="77777777" w:rsidTr="005F6346">
        <w:trPr>
          <w:trHeight w:val="644"/>
        </w:trPr>
        <w:tc>
          <w:tcPr>
            <w:tcW w:w="5954" w:type="dxa"/>
            <w:vAlign w:val="center"/>
          </w:tcPr>
          <w:p w14:paraId="0A12DC6F" w14:textId="77777777" w:rsidR="00113A75" w:rsidRPr="00EC341D" w:rsidRDefault="00113A75" w:rsidP="006E5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Hồ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sơ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thanh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quyết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toán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chỉ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bao </w:t>
            </w:r>
            <w:proofErr w:type="spellStart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gồm</w:t>
            </w:r>
            <w:proofErr w:type="spellEnd"/>
            <w:r w:rsidRPr="00EC3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09F4CF8" w14:textId="77777777" w:rsidR="00113A75" w:rsidRPr="00B41DAC" w:rsidRDefault="00113A75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1. Văn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lùi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5873E0" w14:textId="77777777" w:rsidR="00113A75" w:rsidRPr="00B41DAC" w:rsidRDefault="00113A75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599FC4" w14:textId="3E62318A" w:rsidR="00113A75" w:rsidRPr="00B41DAC" w:rsidRDefault="00113A75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Trường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qua, ban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B41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3E52E796" w14:textId="268C1F95" w:rsidR="00113A75" w:rsidRPr="00B41DAC" w:rsidRDefault="00113A75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289/2025/NĐ-CP</w:t>
            </w:r>
          </w:p>
        </w:tc>
        <w:tc>
          <w:tcPr>
            <w:tcW w:w="3260" w:type="dxa"/>
            <w:vAlign w:val="center"/>
          </w:tcPr>
          <w:p w14:paraId="0D8B46FA" w14:textId="0403FCEC" w:rsidR="00113A75" w:rsidRDefault="00113A75" w:rsidP="006E54BB">
            <w:pPr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2126" w:type="dxa"/>
            <w:vAlign w:val="center"/>
          </w:tcPr>
          <w:p w14:paraId="332EA45C" w14:textId="280A9545" w:rsidR="00113A75" w:rsidRPr="007D54F1" w:rsidRDefault="00113A75" w:rsidP="006E54BB">
            <w:pPr>
              <w:pStyle w:val="ListParagraph"/>
              <w:tabs>
                <w:tab w:val="left" w:pos="1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ương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</w:tr>
      <w:tr w:rsidR="003B3E97" w14:paraId="7DBADFFE" w14:textId="77777777" w:rsidTr="005F6346">
        <w:trPr>
          <w:trHeight w:val="644"/>
        </w:trPr>
        <w:tc>
          <w:tcPr>
            <w:tcW w:w="5954" w:type="dxa"/>
            <w:vAlign w:val="center"/>
          </w:tcPr>
          <w:p w14:paraId="76F8120C" w14:textId="77777777" w:rsidR="003B3E97" w:rsidRPr="00911BAF" w:rsidRDefault="003B3E97" w:rsidP="006E5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1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Hiệu </w:t>
            </w:r>
            <w:proofErr w:type="spellStart"/>
            <w:r w:rsidRPr="00911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lực</w:t>
            </w:r>
            <w:proofErr w:type="spellEnd"/>
            <w:r w:rsidRPr="00911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</w:t>
            </w:r>
            <w:proofErr w:type="spellEnd"/>
            <w:r w:rsidRPr="00911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</w:p>
          <w:p w14:paraId="25D95D4F" w14:textId="36771857" w:rsidR="003B3E97" w:rsidRPr="00911BAF" w:rsidRDefault="003B3E97" w:rsidP="00EC341D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2026.</w:t>
            </w:r>
          </w:p>
          <w:p w14:paraId="1EDD586C" w14:textId="5F4F65AD" w:rsidR="003B3E97" w:rsidRPr="00911BAF" w:rsidRDefault="003B3E97" w:rsidP="00EC341D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95EDF8" w14:textId="77777777" w:rsidR="003B3E97" w:rsidRPr="00911BAF" w:rsidRDefault="003B3E97" w:rsidP="00EC341D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32/2022/NQ-HĐND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Nai Quy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Nai.</w:t>
            </w:r>
          </w:p>
          <w:p w14:paraId="0ED7088E" w14:textId="77777777" w:rsidR="003B3E97" w:rsidRPr="00911BAF" w:rsidRDefault="003B3E97" w:rsidP="00EC341D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13/2023/NQ-HĐND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14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Nai Quy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dung chi,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rà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Nai.</w:t>
            </w:r>
          </w:p>
          <w:p w14:paraId="6A6FF1AC" w14:textId="7AF867F8" w:rsidR="003B3E97" w:rsidRPr="00911BAF" w:rsidRDefault="003B3E97" w:rsidP="00EC341D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bãi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17/NQ-HĐND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08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Nai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bãi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Nai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Bình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Phước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Nai.</w:t>
            </w:r>
          </w:p>
          <w:p w14:paraId="63973544" w14:textId="77777777" w:rsidR="003B3E97" w:rsidRPr="00911BAF" w:rsidRDefault="003B3E97" w:rsidP="00EC341D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</w:p>
          <w:p w14:paraId="3D124274" w14:textId="77777777" w:rsidR="003B3E97" w:rsidRPr="00911BAF" w:rsidRDefault="003B3E97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Phương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01: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khoán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197/2025/QH15,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289/2025/NĐ-CP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08C2BB8" w14:textId="77777777" w:rsidR="003B3E97" w:rsidRPr="00911BAF" w:rsidRDefault="003B3E97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Các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2025;</w:t>
            </w:r>
          </w:p>
          <w:p w14:paraId="1C75E193" w14:textId="77777777" w:rsidR="003B3E97" w:rsidRPr="00911BAF" w:rsidRDefault="003B3E97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2025.</w:t>
            </w:r>
          </w:p>
          <w:p w14:paraId="715B92ED" w14:textId="77777777" w:rsidR="003B3E97" w:rsidRPr="00911BAF" w:rsidRDefault="003B3E97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136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52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85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UBND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02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UBND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21.76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1208139" w14:textId="77777777" w:rsidR="003B3E97" w:rsidRPr="00911BAF" w:rsidRDefault="003B3E97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gánh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nhằm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197/2025/QH15.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55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64/2025/QH15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87/2025/QH15,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mưu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soạn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A6808A" w14:textId="370A5853" w:rsidR="003B3E97" w:rsidRPr="00B41DAC" w:rsidRDefault="003B3E97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Phương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02: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53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64/2025/QH15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87/2025/QH15,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197/2025/QH15,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197/2025/QH15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11BAF">
              <w:rPr>
                <w:rFonts w:ascii="Times New Roman" w:hAnsi="Times New Roman" w:cs="Times New Roman"/>
                <w:sz w:val="28"/>
                <w:szCs w:val="28"/>
              </w:rPr>
              <w:t xml:space="preserve"> 289/2025/NĐ-CP. </w:t>
            </w:r>
          </w:p>
        </w:tc>
        <w:tc>
          <w:tcPr>
            <w:tcW w:w="3119" w:type="dxa"/>
            <w:vAlign w:val="center"/>
          </w:tcPr>
          <w:p w14:paraId="41E0D7EB" w14:textId="40C87B47" w:rsidR="003B3E97" w:rsidRDefault="003B3E97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64/2025/QH15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87/2025/QH15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0F1E083" w14:textId="77777777" w:rsidR="003B3E97" w:rsidRDefault="003B3E97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197/2025/QH15</w:t>
            </w:r>
          </w:p>
          <w:p w14:paraId="749DE042" w14:textId="79E06B2F" w:rsidR="003B3E97" w:rsidRPr="00B41DAC" w:rsidRDefault="003B3E97" w:rsidP="006E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289/2025/NĐ-CP</w:t>
            </w:r>
          </w:p>
        </w:tc>
        <w:tc>
          <w:tcPr>
            <w:tcW w:w="3260" w:type="dxa"/>
            <w:vAlign w:val="center"/>
          </w:tcPr>
          <w:p w14:paraId="67B131AB" w14:textId="2009360A" w:rsidR="003B3E97" w:rsidRDefault="003B3E97" w:rsidP="006E54BB">
            <w:pPr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2126" w:type="dxa"/>
            <w:vAlign w:val="center"/>
          </w:tcPr>
          <w:p w14:paraId="13CB6A54" w14:textId="19D30D88" w:rsidR="003B3E97" w:rsidRPr="007D54F1" w:rsidRDefault="003B3E97" w:rsidP="006E54BB">
            <w:pPr>
              <w:pStyle w:val="ListParagraph"/>
              <w:tabs>
                <w:tab w:val="left" w:pos="1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ương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736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54F1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="00EA5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13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EA5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13C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="00EA5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13C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="00EA5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13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EA5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13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EA5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13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="00EA5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13C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="00EA513C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  <w:r w:rsidR="00EA513C" w:rsidRPr="007D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A47BE68" w14:textId="77777777" w:rsidR="004E6BE0" w:rsidRPr="004E6BE0" w:rsidRDefault="004E6BE0" w:rsidP="004E6B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E6BE0" w:rsidRPr="004E6BE0" w:rsidSect="00B017B1">
      <w:headerReference w:type="default" r:id="rId8"/>
      <w:pgSz w:w="15840" w:h="12240" w:orient="landscape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ED91" w14:textId="77777777" w:rsidR="003F7074" w:rsidRDefault="003F7074" w:rsidP="00B017B1">
      <w:pPr>
        <w:spacing w:after="0" w:line="240" w:lineRule="auto"/>
      </w:pPr>
      <w:r>
        <w:separator/>
      </w:r>
    </w:p>
  </w:endnote>
  <w:endnote w:type="continuationSeparator" w:id="0">
    <w:p w14:paraId="265AF94C" w14:textId="77777777" w:rsidR="003F7074" w:rsidRDefault="003F7074" w:rsidP="00B0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C887" w14:textId="77777777" w:rsidR="003F7074" w:rsidRDefault="003F7074" w:rsidP="00B017B1">
      <w:pPr>
        <w:spacing w:after="0" w:line="240" w:lineRule="auto"/>
      </w:pPr>
      <w:r>
        <w:separator/>
      </w:r>
    </w:p>
  </w:footnote>
  <w:footnote w:type="continuationSeparator" w:id="0">
    <w:p w14:paraId="70585C37" w14:textId="77777777" w:rsidR="003F7074" w:rsidRDefault="003F7074" w:rsidP="00B0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109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2A3C0AF" w14:textId="38531D16" w:rsidR="00B017B1" w:rsidRPr="00B017B1" w:rsidRDefault="00B017B1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017B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017B1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B017B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B017B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017B1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73B5F1DA" w14:textId="77777777" w:rsidR="00B017B1" w:rsidRDefault="00B01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7C3"/>
    <w:multiLevelType w:val="hybridMultilevel"/>
    <w:tmpl w:val="7D80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60617"/>
    <w:multiLevelType w:val="hybridMultilevel"/>
    <w:tmpl w:val="2006C71A"/>
    <w:lvl w:ilvl="0" w:tplc="DBC6D4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22818">
    <w:abstractNumId w:val="1"/>
  </w:num>
  <w:num w:numId="2" w16cid:durableId="20824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4C"/>
    <w:rsid w:val="000046E8"/>
    <w:rsid w:val="00013999"/>
    <w:rsid w:val="00085275"/>
    <w:rsid w:val="0009604B"/>
    <w:rsid w:val="00096BA9"/>
    <w:rsid w:val="000A5F02"/>
    <w:rsid w:val="000A752C"/>
    <w:rsid w:val="000E27A7"/>
    <w:rsid w:val="000F2A34"/>
    <w:rsid w:val="00113A75"/>
    <w:rsid w:val="00114803"/>
    <w:rsid w:val="001214C4"/>
    <w:rsid w:val="00150413"/>
    <w:rsid w:val="00151648"/>
    <w:rsid w:val="001A32DC"/>
    <w:rsid w:val="001A5ADF"/>
    <w:rsid w:val="001C3194"/>
    <w:rsid w:val="001D3146"/>
    <w:rsid w:val="001F264F"/>
    <w:rsid w:val="001F3D38"/>
    <w:rsid w:val="002046BE"/>
    <w:rsid w:val="00211005"/>
    <w:rsid w:val="002111D3"/>
    <w:rsid w:val="00215747"/>
    <w:rsid w:val="002353B8"/>
    <w:rsid w:val="00237E03"/>
    <w:rsid w:val="002428F5"/>
    <w:rsid w:val="00253F38"/>
    <w:rsid w:val="002662A2"/>
    <w:rsid w:val="002A086A"/>
    <w:rsid w:val="002A0A40"/>
    <w:rsid w:val="002B6406"/>
    <w:rsid w:val="002C425A"/>
    <w:rsid w:val="002C5FAC"/>
    <w:rsid w:val="00330AC5"/>
    <w:rsid w:val="00346C92"/>
    <w:rsid w:val="00366094"/>
    <w:rsid w:val="0036635C"/>
    <w:rsid w:val="00380629"/>
    <w:rsid w:val="003B3E97"/>
    <w:rsid w:val="003F62AC"/>
    <w:rsid w:val="003F7074"/>
    <w:rsid w:val="004155A8"/>
    <w:rsid w:val="00420DBA"/>
    <w:rsid w:val="0044314A"/>
    <w:rsid w:val="0047436C"/>
    <w:rsid w:val="0049140C"/>
    <w:rsid w:val="004B1099"/>
    <w:rsid w:val="004D33C6"/>
    <w:rsid w:val="004E60BD"/>
    <w:rsid w:val="004E6BE0"/>
    <w:rsid w:val="00507730"/>
    <w:rsid w:val="00516C72"/>
    <w:rsid w:val="005738E4"/>
    <w:rsid w:val="00597A9E"/>
    <w:rsid w:val="005A7211"/>
    <w:rsid w:val="005B0E2D"/>
    <w:rsid w:val="005B5B90"/>
    <w:rsid w:val="005E3E3E"/>
    <w:rsid w:val="005F2627"/>
    <w:rsid w:val="005F6346"/>
    <w:rsid w:val="00601358"/>
    <w:rsid w:val="00612C74"/>
    <w:rsid w:val="006B63B0"/>
    <w:rsid w:val="006E54BB"/>
    <w:rsid w:val="006F70F1"/>
    <w:rsid w:val="007012AD"/>
    <w:rsid w:val="00736F1B"/>
    <w:rsid w:val="007378A3"/>
    <w:rsid w:val="00741907"/>
    <w:rsid w:val="00751DC0"/>
    <w:rsid w:val="00754B2D"/>
    <w:rsid w:val="0079755F"/>
    <w:rsid w:val="007A6C37"/>
    <w:rsid w:val="007C2E7D"/>
    <w:rsid w:val="007D54F1"/>
    <w:rsid w:val="00827D23"/>
    <w:rsid w:val="008716AC"/>
    <w:rsid w:val="00890C92"/>
    <w:rsid w:val="008E626B"/>
    <w:rsid w:val="008E77B8"/>
    <w:rsid w:val="00911BAF"/>
    <w:rsid w:val="009419E2"/>
    <w:rsid w:val="009641B5"/>
    <w:rsid w:val="00981647"/>
    <w:rsid w:val="00994A47"/>
    <w:rsid w:val="009A5DB2"/>
    <w:rsid w:val="009B34C3"/>
    <w:rsid w:val="009B6D4C"/>
    <w:rsid w:val="009F4F71"/>
    <w:rsid w:val="009F5995"/>
    <w:rsid w:val="00A325B9"/>
    <w:rsid w:val="00A3331A"/>
    <w:rsid w:val="00A572DB"/>
    <w:rsid w:val="00A642C0"/>
    <w:rsid w:val="00A71F3E"/>
    <w:rsid w:val="00A92C99"/>
    <w:rsid w:val="00AE0866"/>
    <w:rsid w:val="00AF3679"/>
    <w:rsid w:val="00B017B1"/>
    <w:rsid w:val="00B41B1A"/>
    <w:rsid w:val="00B41DAC"/>
    <w:rsid w:val="00B41FD5"/>
    <w:rsid w:val="00B52668"/>
    <w:rsid w:val="00B53AE3"/>
    <w:rsid w:val="00B82369"/>
    <w:rsid w:val="00B82F43"/>
    <w:rsid w:val="00BB2EA4"/>
    <w:rsid w:val="00BB45B2"/>
    <w:rsid w:val="00BB54E2"/>
    <w:rsid w:val="00BC32D3"/>
    <w:rsid w:val="00BC5F7D"/>
    <w:rsid w:val="00C02D98"/>
    <w:rsid w:val="00C22571"/>
    <w:rsid w:val="00C31E92"/>
    <w:rsid w:val="00C667AF"/>
    <w:rsid w:val="00D16378"/>
    <w:rsid w:val="00D16D14"/>
    <w:rsid w:val="00D818F8"/>
    <w:rsid w:val="00D84C0F"/>
    <w:rsid w:val="00DA258F"/>
    <w:rsid w:val="00DC2533"/>
    <w:rsid w:val="00DD4DBF"/>
    <w:rsid w:val="00DE0799"/>
    <w:rsid w:val="00DE417B"/>
    <w:rsid w:val="00DF3E9C"/>
    <w:rsid w:val="00E156D4"/>
    <w:rsid w:val="00E15C50"/>
    <w:rsid w:val="00E23C94"/>
    <w:rsid w:val="00E608D0"/>
    <w:rsid w:val="00E6309B"/>
    <w:rsid w:val="00E67159"/>
    <w:rsid w:val="00E869B8"/>
    <w:rsid w:val="00EA513C"/>
    <w:rsid w:val="00EB7816"/>
    <w:rsid w:val="00EC341D"/>
    <w:rsid w:val="00EE222A"/>
    <w:rsid w:val="00F05C53"/>
    <w:rsid w:val="00F638DF"/>
    <w:rsid w:val="00F90124"/>
    <w:rsid w:val="00FA58D7"/>
    <w:rsid w:val="00FB41EB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7F6FD"/>
  <w15:chartTrackingRefBased/>
  <w15:docId w15:val="{144D9720-3F84-4DC1-BFA2-E89AE5F1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D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D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D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D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D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7B1"/>
  </w:style>
  <w:style w:type="paragraph" w:styleId="Footer">
    <w:name w:val="footer"/>
    <w:basedOn w:val="Normal"/>
    <w:link w:val="FooterChar"/>
    <w:uiPriority w:val="99"/>
    <w:unhideWhenUsed/>
    <w:rsid w:val="00B0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7B1"/>
  </w:style>
  <w:style w:type="paragraph" w:styleId="FootnoteText">
    <w:name w:val="footnote text"/>
    <w:basedOn w:val="Normal"/>
    <w:link w:val="FootnoteTextChar"/>
    <w:uiPriority w:val="99"/>
    <w:semiHidden/>
    <w:unhideWhenUsed/>
    <w:rsid w:val="009F4F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F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4F7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2E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E004-C196-4472-9D9A-E25E5991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15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Tiến Lâm</dc:creator>
  <cp:keywords/>
  <dc:description/>
  <cp:lastModifiedBy>Đào Tiến Lâm</cp:lastModifiedBy>
  <cp:revision>138</cp:revision>
  <cp:lastPrinted>2026-02-02T04:23:00Z</cp:lastPrinted>
  <dcterms:created xsi:type="dcterms:W3CDTF">2026-01-05T04:00:00Z</dcterms:created>
  <dcterms:modified xsi:type="dcterms:W3CDTF">2026-02-03T07:46:00Z</dcterms:modified>
</cp:coreProperties>
</file>