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281"/>
        <w:gridCol w:w="5789"/>
      </w:tblGrid>
      <w:tr w:rsidR="00556822" w:rsidRPr="008920BB" w14:paraId="36BEAEAE" w14:textId="77777777" w:rsidTr="008D378B">
        <w:trPr>
          <w:trHeight w:val="288"/>
          <w:jc w:val="center"/>
        </w:trPr>
        <w:tc>
          <w:tcPr>
            <w:tcW w:w="3336"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C94BECD" w14:textId="35C6F5F9" w:rsidR="00556822" w:rsidRPr="008920BB" w:rsidRDefault="00556822" w:rsidP="007958EE">
            <w:pPr>
              <w:spacing w:before="120"/>
              <w:jc w:val="center"/>
              <w:rPr>
                <w:sz w:val="28"/>
                <w:szCs w:val="28"/>
              </w:rPr>
            </w:pPr>
            <w:r w:rsidRPr="008920BB">
              <w:rPr>
                <w:b/>
                <w:bCs/>
                <w:sz w:val="26"/>
                <w:szCs w:val="26"/>
              </w:rPr>
              <w:t>HỘI ĐỒNG NHÂN DÂN</w:t>
            </w:r>
            <w:r w:rsidRPr="008920BB">
              <w:rPr>
                <w:b/>
                <w:bCs/>
                <w:sz w:val="26"/>
                <w:szCs w:val="26"/>
              </w:rPr>
              <w:br/>
              <w:t xml:space="preserve">TỈNH </w:t>
            </w:r>
            <w:r w:rsidR="007958EE">
              <w:rPr>
                <w:b/>
                <w:bCs/>
                <w:sz w:val="26"/>
                <w:szCs w:val="26"/>
              </w:rPr>
              <w:t>ĐỒNG NAI</w:t>
            </w:r>
          </w:p>
        </w:tc>
        <w:tc>
          <w:tcPr>
            <w:tcW w:w="590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168A63F" w14:textId="77777777" w:rsidR="00556822" w:rsidRPr="008920BB" w:rsidRDefault="00556822" w:rsidP="008D378B">
            <w:pPr>
              <w:spacing w:before="120"/>
              <w:jc w:val="center"/>
              <w:rPr>
                <w:sz w:val="28"/>
                <w:szCs w:val="28"/>
              </w:rPr>
            </w:pPr>
            <w:r w:rsidRPr="008920BB">
              <w:rPr>
                <w:b/>
                <w:bCs/>
                <w:sz w:val="26"/>
              </w:rPr>
              <w:t>CỘNG HÒA XÃ HỘI CHỦ NGHĨA VIỆT NAM</w:t>
            </w:r>
            <w:r w:rsidRPr="008920BB">
              <w:rPr>
                <w:b/>
                <w:bCs/>
              </w:rPr>
              <w:br/>
            </w:r>
            <w:r w:rsidRPr="008920BB">
              <w:rPr>
                <w:b/>
                <w:bCs/>
                <w:sz w:val="28"/>
                <w:szCs w:val="26"/>
              </w:rPr>
              <w:t xml:space="preserve">Độc lập </w:t>
            </w:r>
            <w:r w:rsidRPr="00684914">
              <w:rPr>
                <w:bCs/>
                <w:sz w:val="28"/>
                <w:szCs w:val="26"/>
              </w:rPr>
              <w:t>-</w:t>
            </w:r>
            <w:r w:rsidRPr="008920BB">
              <w:rPr>
                <w:b/>
                <w:bCs/>
                <w:sz w:val="28"/>
                <w:szCs w:val="26"/>
              </w:rPr>
              <w:t xml:space="preserve"> Tự do </w:t>
            </w:r>
            <w:r w:rsidRPr="00684914">
              <w:rPr>
                <w:bCs/>
                <w:sz w:val="28"/>
                <w:szCs w:val="26"/>
              </w:rPr>
              <w:t>-</w:t>
            </w:r>
            <w:r w:rsidRPr="008920BB">
              <w:rPr>
                <w:b/>
                <w:bCs/>
                <w:sz w:val="28"/>
                <w:szCs w:val="26"/>
              </w:rPr>
              <w:t xml:space="preserve"> Hạnh phúc</w:t>
            </w:r>
          </w:p>
        </w:tc>
      </w:tr>
      <w:tr w:rsidR="00556822" w:rsidRPr="008920BB" w14:paraId="2EDD52A5" w14:textId="77777777" w:rsidTr="008D378B">
        <w:trPr>
          <w:trHeight w:val="288"/>
          <w:jc w:val="center"/>
        </w:trPr>
        <w:tc>
          <w:tcPr>
            <w:tcW w:w="3336" w:type="dxa"/>
            <w:tcBorders>
              <w:top w:val="nil"/>
              <w:left w:val="nil"/>
              <w:bottom w:val="nil"/>
              <w:right w:val="nil"/>
              <w:tl2br w:val="nil"/>
              <w:tr2bl w:val="nil"/>
            </w:tcBorders>
            <w:shd w:val="clear" w:color="auto" w:fill="auto"/>
            <w:tcMar>
              <w:top w:w="0" w:type="dxa"/>
              <w:left w:w="108" w:type="dxa"/>
              <w:bottom w:w="0" w:type="dxa"/>
              <w:right w:w="108" w:type="dxa"/>
            </w:tcMar>
          </w:tcPr>
          <w:p w14:paraId="4C402359" w14:textId="001135CE" w:rsidR="00556822" w:rsidRPr="008920BB" w:rsidRDefault="00556822" w:rsidP="008D378B">
            <w:pPr>
              <w:jc w:val="center"/>
              <w:rPr>
                <w:b/>
                <w:bCs/>
                <w:sz w:val="26"/>
                <w:szCs w:val="26"/>
              </w:rPr>
            </w:pPr>
            <w:r>
              <w:rPr>
                <w:b/>
                <w:bCs/>
                <w:noProof/>
                <w:sz w:val="26"/>
              </w:rPr>
              <mc:AlternateContent>
                <mc:Choice Requires="wps">
                  <w:drawing>
                    <wp:anchor distT="0" distB="0" distL="114300" distR="114300" simplePos="0" relativeHeight="251661824" behindDoc="0" locked="0" layoutInCell="1" allowOverlap="1" wp14:anchorId="288B8384" wp14:editId="3CD525E7">
                      <wp:simplePos x="0" y="0"/>
                      <wp:positionH relativeFrom="column">
                        <wp:posOffset>614045</wp:posOffset>
                      </wp:positionH>
                      <wp:positionV relativeFrom="paragraph">
                        <wp:posOffset>48895</wp:posOffset>
                      </wp:positionV>
                      <wp:extent cx="596900" cy="0"/>
                      <wp:effectExtent l="10160" t="10795" r="12065" b="82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8781E5" id="_x0000_t32" coordsize="21600,21600" o:spt="32" o:oned="t" path="m,l21600,21600e" filled="f">
                      <v:path arrowok="t" fillok="f" o:connecttype="none"/>
                      <o:lock v:ext="edit" shapetype="t"/>
                    </v:shapetype>
                    <v:shape id="Straight Arrow Connector 5" o:spid="_x0000_s1026" type="#_x0000_t32" style="position:absolute;margin-left:48.35pt;margin-top:3.85pt;width:47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v4JAIAAEk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"/>
                  </w:pict>
                </mc:Fallback>
              </mc:AlternateContent>
            </w:r>
          </w:p>
        </w:tc>
        <w:tc>
          <w:tcPr>
            <w:tcW w:w="5902" w:type="dxa"/>
            <w:tcBorders>
              <w:top w:val="nil"/>
              <w:left w:val="nil"/>
              <w:bottom w:val="nil"/>
              <w:right w:val="nil"/>
              <w:tl2br w:val="nil"/>
              <w:tr2bl w:val="nil"/>
            </w:tcBorders>
            <w:shd w:val="clear" w:color="auto" w:fill="auto"/>
            <w:tcMar>
              <w:top w:w="0" w:type="dxa"/>
              <w:left w:w="108" w:type="dxa"/>
              <w:bottom w:w="0" w:type="dxa"/>
              <w:right w:w="108" w:type="dxa"/>
            </w:tcMar>
          </w:tcPr>
          <w:p w14:paraId="5398FAE0" w14:textId="21CE72A9" w:rsidR="00556822" w:rsidRPr="008920BB" w:rsidRDefault="00556822" w:rsidP="008D378B">
            <w:pPr>
              <w:jc w:val="center"/>
              <w:rPr>
                <w:b/>
                <w:bCs/>
              </w:rPr>
            </w:pPr>
            <w:r>
              <w:rPr>
                <w:b/>
                <w:bCs/>
                <w:noProof/>
              </w:rPr>
              <mc:AlternateContent>
                <mc:Choice Requires="wps">
                  <w:drawing>
                    <wp:anchor distT="0" distB="0" distL="114300" distR="114300" simplePos="0" relativeHeight="251662848" behindDoc="0" locked="0" layoutInCell="1" allowOverlap="1" wp14:anchorId="0B4120D2" wp14:editId="0E6A5F15">
                      <wp:simplePos x="0" y="0"/>
                      <wp:positionH relativeFrom="column">
                        <wp:posOffset>727075</wp:posOffset>
                      </wp:positionH>
                      <wp:positionV relativeFrom="paragraph">
                        <wp:posOffset>48895</wp:posOffset>
                      </wp:positionV>
                      <wp:extent cx="2155190" cy="0"/>
                      <wp:effectExtent l="12700" t="10795" r="13335" b="825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E7982D" id="Straight Arrow Connector 4" o:spid="_x0000_s1026" type="#_x0000_t32" style="position:absolute;margin-left:57.25pt;margin-top:3.85pt;width:169.7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mYx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"/>
                  </w:pict>
                </mc:Fallback>
              </mc:AlternateContent>
            </w:r>
          </w:p>
        </w:tc>
      </w:tr>
    </w:tbl>
    <w:bookmarkStart w:id="0" w:name="loai_2"/>
    <w:p w14:paraId="7BB853A9" w14:textId="2F49C9F2" w:rsidR="00556822" w:rsidRPr="008920BB" w:rsidRDefault="00A44329" w:rsidP="00556822">
      <w:pPr>
        <w:jc w:val="center"/>
        <w:rPr>
          <w:b/>
          <w:bCs/>
          <w:sz w:val="28"/>
          <w:szCs w:val="28"/>
        </w:rPr>
      </w:pPr>
      <w:r w:rsidRPr="00A44329">
        <w:rPr>
          <w:b/>
          <w:bCs/>
          <w:noProof/>
          <w:sz w:val="28"/>
          <w:szCs w:val="28"/>
        </w:rPr>
        <mc:AlternateContent>
          <mc:Choice Requires="wps">
            <w:drawing>
              <wp:anchor distT="45720" distB="45720" distL="114300" distR="114300" simplePos="0" relativeHeight="251664896" behindDoc="0" locked="0" layoutInCell="1" allowOverlap="1" wp14:anchorId="1582FC36" wp14:editId="1B685A33">
                <wp:simplePos x="0" y="0"/>
                <wp:positionH relativeFrom="column">
                  <wp:posOffset>-560705</wp:posOffset>
                </wp:positionH>
                <wp:positionV relativeFrom="paragraph">
                  <wp:posOffset>95885</wp:posOffset>
                </wp:positionV>
                <wp:extent cx="819150" cy="140462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4620"/>
                        </a:xfrm>
                        <a:prstGeom prst="rect">
                          <a:avLst/>
                        </a:prstGeom>
                        <a:solidFill>
                          <a:srgbClr val="FFFFFF"/>
                        </a:solidFill>
                        <a:ln w="9525">
                          <a:solidFill>
                            <a:srgbClr val="000000"/>
                          </a:solidFill>
                          <a:miter lim="800000"/>
                          <a:headEnd/>
                          <a:tailEnd/>
                        </a:ln>
                      </wps:spPr>
                      <wps:txbx>
                        <w:txbxContent>
                          <w:p w14:paraId="6FA0E25F" w14:textId="6F39A44F" w:rsidR="00A44329" w:rsidRPr="008229EB" w:rsidRDefault="00A44329">
                            <w:pPr>
                              <w:rPr>
                                <w:b/>
                                <w:color w:val="FF0000"/>
                                <w:sz w:val="28"/>
                                <w:szCs w:val="28"/>
                              </w:rPr>
                            </w:pPr>
                            <w:r w:rsidRPr="008229EB">
                              <w:rPr>
                                <w:b/>
                                <w:color w:val="FF0000"/>
                                <w:sz w:val="28"/>
                                <w:szCs w:val="28"/>
                              </w:rPr>
                              <w:t>Dự thảo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82FC36" id="_x0000_t202" coordsize="21600,21600" o:spt="202" path="m,l,21600r21600,l21600,xe">
                <v:stroke joinstyle="miter"/>
                <v:path gradientshapeok="t" o:connecttype="rect"/>
              </v:shapetype>
              <v:shape id="Text Box 2" o:spid="_x0000_s1026" type="#_x0000_t202" style="position:absolute;left:0;text-align:left;margin-left:-44.15pt;margin-top:7.55pt;width:64.5pt;height:110.6pt;z-index:251664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">
                <v:textbox style="mso-fit-shape-to-text:t">
                  <w:txbxContent>
                    <w:p w14:paraId="6FA0E25F" w14:textId="6F39A44F" w:rsidR="00A44329" w:rsidRPr="008229EB" w:rsidRDefault="00A44329">
                      <w:pPr>
                        <w:rPr>
                          <w:b/>
                          <w:color w:val="FF0000"/>
                          <w:sz w:val="28"/>
                          <w:szCs w:val="28"/>
                        </w:rPr>
                      </w:pPr>
                      <w:r w:rsidRPr="008229EB">
                        <w:rPr>
                          <w:b/>
                          <w:color w:val="FF0000"/>
                          <w:sz w:val="28"/>
                          <w:szCs w:val="28"/>
                        </w:rPr>
                        <w:t>Dự thảo</w:t>
                      </w:r>
                    </w:p>
                  </w:txbxContent>
                </v:textbox>
              </v:shape>
            </w:pict>
          </mc:Fallback>
        </mc:AlternateContent>
      </w:r>
    </w:p>
    <w:p w14:paraId="696E84C9" w14:textId="77777777" w:rsidR="00556822" w:rsidRPr="008920BB" w:rsidRDefault="00556822" w:rsidP="007958EE">
      <w:pPr>
        <w:spacing w:after="120"/>
        <w:jc w:val="center"/>
        <w:rPr>
          <w:sz w:val="28"/>
          <w:szCs w:val="28"/>
        </w:rPr>
      </w:pPr>
      <w:r w:rsidRPr="008920BB">
        <w:rPr>
          <w:b/>
          <w:bCs/>
          <w:sz w:val="28"/>
          <w:szCs w:val="28"/>
        </w:rPr>
        <w:t>QUY ĐỊNH</w:t>
      </w:r>
      <w:bookmarkEnd w:id="0"/>
    </w:p>
    <w:p w14:paraId="4FE8FFBD" w14:textId="4770A27A" w:rsidR="00556822" w:rsidRPr="00F332C1" w:rsidRDefault="00F54465" w:rsidP="007958EE">
      <w:pPr>
        <w:spacing w:after="120"/>
        <w:jc w:val="center"/>
        <w:rPr>
          <w:b/>
          <w:sz w:val="28"/>
          <w:szCs w:val="28"/>
        </w:rPr>
      </w:pPr>
      <w:r>
        <w:rPr>
          <w:b/>
          <w:sz w:val="28"/>
          <w:szCs w:val="28"/>
        </w:rPr>
        <w:t>Đ</w:t>
      </w:r>
      <w:r w:rsidR="00974FC4" w:rsidRPr="00974FC4">
        <w:rPr>
          <w:b/>
          <w:sz w:val="28"/>
          <w:szCs w:val="28"/>
        </w:rPr>
        <w:t xml:space="preserve">ịnh </w:t>
      </w:r>
      <w:r w:rsidR="00974FC4" w:rsidRPr="00F332C1">
        <w:rPr>
          <w:b/>
          <w:sz w:val="28"/>
          <w:szCs w:val="28"/>
        </w:rPr>
        <w:t xml:space="preserve">mức </w:t>
      </w:r>
      <w:r w:rsidR="00F332C1" w:rsidRPr="00F332C1">
        <w:rPr>
          <w:b/>
          <w:sz w:val="28"/>
          <w:szCs w:val="28"/>
        </w:rPr>
        <w:t>lập dự toán, quản lý sử dụng và quyết toán kinh phí ngân sách nhà nước đối với một số nội dung chi quản lý hoạt động khoa học, công nghệ và đổi mới sáng tạo trên địa bàn tỉnh Đồng Nai</w:t>
      </w:r>
    </w:p>
    <w:p w14:paraId="38A7E501" w14:textId="77777777" w:rsidR="00556822" w:rsidRPr="008920BB" w:rsidRDefault="00556822" w:rsidP="00556822">
      <w:pPr>
        <w:jc w:val="center"/>
        <w:rPr>
          <w:i/>
          <w:iCs/>
          <w:sz w:val="12"/>
          <w:szCs w:val="28"/>
        </w:rPr>
      </w:pPr>
    </w:p>
    <w:p w14:paraId="1C092E0F" w14:textId="39E23B6B" w:rsidR="00556822" w:rsidRPr="008920BB" w:rsidRDefault="00556822" w:rsidP="00215004">
      <w:pPr>
        <w:ind w:left="540" w:right="790"/>
        <w:jc w:val="center"/>
        <w:rPr>
          <w:i/>
          <w:iCs/>
          <w:sz w:val="28"/>
          <w:szCs w:val="28"/>
        </w:rPr>
      </w:pPr>
      <w:r w:rsidRPr="008920BB">
        <w:rPr>
          <w:i/>
          <w:iCs/>
          <w:sz w:val="28"/>
          <w:szCs w:val="28"/>
        </w:rPr>
        <w:t>(</w:t>
      </w:r>
      <w:r w:rsidR="008229EB">
        <w:rPr>
          <w:i/>
          <w:iCs/>
          <w:sz w:val="28"/>
          <w:szCs w:val="28"/>
        </w:rPr>
        <w:t>Ban hành k</w:t>
      </w:r>
      <w:r w:rsidRPr="008920BB">
        <w:rPr>
          <w:i/>
          <w:iCs/>
          <w:sz w:val="28"/>
          <w:szCs w:val="28"/>
        </w:rPr>
        <w:t xml:space="preserve">èm theo Nghị </w:t>
      </w:r>
      <w:r w:rsidR="00B50DDE">
        <w:rPr>
          <w:i/>
          <w:iCs/>
          <w:sz w:val="28"/>
          <w:szCs w:val="28"/>
        </w:rPr>
        <w:t>q</w:t>
      </w:r>
      <w:r w:rsidR="00B754BC">
        <w:rPr>
          <w:i/>
          <w:iCs/>
          <w:sz w:val="28"/>
          <w:szCs w:val="28"/>
        </w:rPr>
        <w:t>uyết số</w:t>
      </w:r>
      <w:r w:rsidRPr="008920BB">
        <w:rPr>
          <w:i/>
          <w:iCs/>
          <w:sz w:val="28"/>
          <w:szCs w:val="28"/>
        </w:rPr>
        <w:t xml:space="preserve">      /202</w:t>
      </w:r>
      <w:r w:rsidR="008229EB">
        <w:rPr>
          <w:i/>
          <w:iCs/>
          <w:sz w:val="28"/>
          <w:szCs w:val="28"/>
        </w:rPr>
        <w:t>6</w:t>
      </w:r>
      <w:r w:rsidRPr="008920BB">
        <w:rPr>
          <w:i/>
          <w:iCs/>
          <w:sz w:val="28"/>
          <w:szCs w:val="28"/>
        </w:rPr>
        <w:t>/NQ-HĐND ngày      tháng       năm 202</w:t>
      </w:r>
      <w:r w:rsidR="008229EB">
        <w:rPr>
          <w:i/>
          <w:iCs/>
          <w:sz w:val="28"/>
          <w:szCs w:val="28"/>
        </w:rPr>
        <w:t>6</w:t>
      </w:r>
      <w:r w:rsidRPr="008920BB">
        <w:rPr>
          <w:i/>
          <w:iCs/>
          <w:sz w:val="28"/>
          <w:szCs w:val="28"/>
        </w:rPr>
        <w:t xml:space="preserve"> của Hội đồng nhân dân tỉnh </w:t>
      </w:r>
      <w:r w:rsidR="007958EE">
        <w:rPr>
          <w:i/>
          <w:iCs/>
          <w:sz w:val="28"/>
          <w:szCs w:val="28"/>
        </w:rPr>
        <w:t>Đồng Nai</w:t>
      </w:r>
      <w:r w:rsidRPr="008920BB">
        <w:rPr>
          <w:i/>
          <w:iCs/>
          <w:sz w:val="28"/>
          <w:szCs w:val="28"/>
        </w:rPr>
        <w:t>)</w:t>
      </w:r>
    </w:p>
    <w:p w14:paraId="2738AEFF" w14:textId="7471FC28" w:rsidR="00556822" w:rsidRPr="008920BB" w:rsidRDefault="00215004" w:rsidP="00556822">
      <w:pPr>
        <w:jc w:val="center"/>
        <w:rPr>
          <w:sz w:val="28"/>
          <w:szCs w:val="28"/>
        </w:rPr>
      </w:pPr>
      <w:r>
        <w:rPr>
          <w:b/>
          <w:bCs/>
          <w:noProof/>
        </w:rPr>
        <mc:AlternateContent>
          <mc:Choice Requires="wps">
            <w:drawing>
              <wp:anchor distT="0" distB="0" distL="114300" distR="114300" simplePos="0" relativeHeight="251666944" behindDoc="0" locked="0" layoutInCell="1" allowOverlap="1" wp14:anchorId="53E37F1E" wp14:editId="5BA6D013">
                <wp:simplePos x="0" y="0"/>
                <wp:positionH relativeFrom="column">
                  <wp:posOffset>1752600</wp:posOffset>
                </wp:positionH>
                <wp:positionV relativeFrom="paragraph">
                  <wp:posOffset>38735</wp:posOffset>
                </wp:positionV>
                <wp:extent cx="2155190" cy="0"/>
                <wp:effectExtent l="0" t="0" r="3556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28103D" id="Straight Arrow Connector 2" o:spid="_x0000_s1026" type="#_x0000_t32" style="position:absolute;margin-left:138pt;margin-top:3.05pt;width:169.7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ASJAIAAEo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"/>
            </w:pict>
          </mc:Fallback>
        </mc:AlternateContent>
      </w:r>
    </w:p>
    <w:p w14:paraId="449E334B" w14:textId="5AB70F69" w:rsidR="00556822" w:rsidRPr="00C859DB" w:rsidRDefault="00556822" w:rsidP="00696797">
      <w:pPr>
        <w:spacing w:before="120" w:after="120" w:line="288" w:lineRule="auto"/>
        <w:ind w:firstLine="547"/>
        <w:jc w:val="both"/>
        <w:rPr>
          <w:rFonts w:asciiTheme="majorHAnsi" w:hAnsiTheme="majorHAnsi" w:cstheme="majorHAnsi"/>
          <w:sz w:val="28"/>
          <w:szCs w:val="28"/>
        </w:rPr>
      </w:pPr>
      <w:bookmarkStart w:id="1" w:name="dieu_1_1"/>
      <w:r w:rsidRPr="00C859DB">
        <w:rPr>
          <w:rFonts w:asciiTheme="majorHAnsi" w:hAnsiTheme="majorHAnsi" w:cstheme="majorHAnsi"/>
          <w:b/>
          <w:bCs/>
          <w:sz w:val="28"/>
          <w:szCs w:val="28"/>
        </w:rPr>
        <w:t>Điều 1. Phạm vi điều chỉnh</w:t>
      </w:r>
      <w:bookmarkEnd w:id="1"/>
      <w:r w:rsidRPr="00C859DB">
        <w:rPr>
          <w:rFonts w:asciiTheme="majorHAnsi" w:hAnsiTheme="majorHAnsi" w:cstheme="majorHAnsi"/>
          <w:b/>
          <w:bCs/>
          <w:sz w:val="28"/>
          <w:szCs w:val="28"/>
        </w:rPr>
        <w:t xml:space="preserve"> và đối tượng áp dụng</w:t>
      </w:r>
      <w:r w:rsidR="001C3A5A" w:rsidRPr="00C859DB">
        <w:rPr>
          <w:rFonts w:asciiTheme="majorHAnsi" w:hAnsiTheme="majorHAnsi" w:cstheme="majorHAnsi"/>
          <w:b/>
          <w:bCs/>
          <w:sz w:val="28"/>
          <w:szCs w:val="28"/>
        </w:rPr>
        <w:t xml:space="preserve"> </w:t>
      </w:r>
    </w:p>
    <w:p w14:paraId="0422A91B" w14:textId="77777777" w:rsidR="00556822" w:rsidRPr="00C859DB" w:rsidRDefault="00556822" w:rsidP="00696797">
      <w:pPr>
        <w:spacing w:before="120" w:after="120" w:line="288" w:lineRule="auto"/>
        <w:ind w:firstLine="547"/>
        <w:jc w:val="both"/>
        <w:rPr>
          <w:rFonts w:asciiTheme="majorHAnsi" w:hAnsiTheme="majorHAnsi" w:cstheme="majorHAnsi"/>
          <w:sz w:val="28"/>
          <w:szCs w:val="28"/>
        </w:rPr>
      </w:pPr>
      <w:r w:rsidRPr="00C859DB">
        <w:rPr>
          <w:rFonts w:asciiTheme="majorHAnsi" w:hAnsiTheme="majorHAnsi" w:cstheme="majorHAnsi"/>
          <w:sz w:val="28"/>
          <w:szCs w:val="28"/>
        </w:rPr>
        <w:t>1. Phạm vi điều chỉnh</w:t>
      </w:r>
    </w:p>
    <w:p w14:paraId="2F112F27" w14:textId="3731AD2F" w:rsidR="008229EB" w:rsidRDefault="00616971" w:rsidP="00696797">
      <w:pPr>
        <w:spacing w:before="120" w:after="120" w:line="288" w:lineRule="auto"/>
        <w:ind w:firstLine="547"/>
        <w:jc w:val="both"/>
        <w:rPr>
          <w:sz w:val="28"/>
          <w:szCs w:val="28"/>
        </w:rPr>
      </w:pPr>
      <w:r>
        <w:rPr>
          <w:rFonts w:asciiTheme="majorHAnsi" w:hAnsiTheme="majorHAnsi" w:cstheme="majorHAnsi"/>
          <w:sz w:val="28"/>
          <w:szCs w:val="28"/>
          <w:lang w:val="nl-NL"/>
        </w:rPr>
        <w:t xml:space="preserve">a) </w:t>
      </w:r>
      <w:r w:rsidR="00684914">
        <w:rPr>
          <w:rFonts w:asciiTheme="majorHAnsi" w:hAnsiTheme="majorHAnsi" w:cstheme="majorHAnsi"/>
          <w:sz w:val="28"/>
          <w:szCs w:val="28"/>
          <w:lang w:val="nl-NL"/>
        </w:rPr>
        <w:t xml:space="preserve">Nghị quyết này quy định </w:t>
      </w:r>
      <w:r w:rsidR="00684914" w:rsidRPr="00A60C5F">
        <w:rPr>
          <w:sz w:val="28"/>
          <w:szCs w:val="28"/>
        </w:rPr>
        <w:t xml:space="preserve">việc lập dự toán, quản lý sử dụng và quyết toán kinh phí ngân sách nhà nước đối với một số nội dung chi quản lý hoạt động khoa học, công nghệ và đổi mới sáng tạo, được quy định tại các </w:t>
      </w:r>
      <w:bookmarkStart w:id="2" w:name="dc_1"/>
      <w:r w:rsidR="00684914" w:rsidRPr="00A60C5F">
        <w:rPr>
          <w:sz w:val="28"/>
          <w:szCs w:val="28"/>
        </w:rPr>
        <w:t>điểm a, đ, e, i và k khoản 11 Điều 6 Nghị định số 265/2025/NĐ-CP</w:t>
      </w:r>
      <w:bookmarkEnd w:id="2"/>
      <w:r w:rsidR="00684914" w:rsidRPr="00A60C5F">
        <w:rPr>
          <w:sz w:val="28"/>
          <w:szCs w:val="28"/>
        </w:rPr>
        <w:t xml:space="preserve"> ngày 14 tháng 10 năm 2025 của Chính phủ quy định chi tiết và hướng dẫn thi hành một số điều của </w:t>
      </w:r>
      <w:bookmarkStart w:id="3" w:name="tvpllink_gftnlsauya_5"/>
      <w:r w:rsidR="00684914" w:rsidRPr="00A60C5F">
        <w:rPr>
          <w:sz w:val="28"/>
          <w:szCs w:val="28"/>
        </w:rPr>
        <w:t>Luật Khoa học, Công nghệ và Đổi mới sáng tạo</w:t>
      </w:r>
      <w:bookmarkEnd w:id="3"/>
      <w:r w:rsidR="00684914" w:rsidRPr="00A60C5F">
        <w:rPr>
          <w:sz w:val="28"/>
          <w:szCs w:val="28"/>
        </w:rPr>
        <w:t xml:space="preserve"> về tài chính và đầu tư trong khoa học, công nghệ và đổi mới sáng tạo (sau đây viết tắt là Nghị định số </w:t>
      </w:r>
      <w:bookmarkStart w:id="4" w:name="tvpllink_lqwcexhngc_1"/>
      <w:r w:rsidR="00684914" w:rsidRPr="00A60C5F">
        <w:rPr>
          <w:sz w:val="28"/>
          <w:szCs w:val="28"/>
        </w:rPr>
        <w:t>265/2025/NĐ-CP</w:t>
      </w:r>
      <w:bookmarkEnd w:id="4"/>
      <w:r w:rsidR="00684914" w:rsidRPr="00A60C5F">
        <w:rPr>
          <w:sz w:val="28"/>
          <w:szCs w:val="28"/>
        </w:rPr>
        <w:t>)</w:t>
      </w:r>
      <w:r w:rsidR="00684914">
        <w:rPr>
          <w:sz w:val="28"/>
          <w:szCs w:val="28"/>
        </w:rPr>
        <w:t>.</w:t>
      </w:r>
    </w:p>
    <w:p w14:paraId="06774A3E" w14:textId="7E1CED61" w:rsidR="005525E7" w:rsidRPr="00EE1C06" w:rsidRDefault="00616971" w:rsidP="00696797">
      <w:pPr>
        <w:spacing w:before="120" w:after="120" w:line="288" w:lineRule="auto"/>
        <w:ind w:firstLine="547"/>
        <w:jc w:val="both"/>
        <w:rPr>
          <w:rFonts w:asciiTheme="majorHAnsi" w:hAnsiTheme="majorHAnsi" w:cstheme="majorHAnsi"/>
          <w:color w:val="000000" w:themeColor="text1"/>
          <w:sz w:val="28"/>
          <w:szCs w:val="28"/>
          <w:lang w:val="nl-NL"/>
        </w:rPr>
      </w:pPr>
      <w:r w:rsidRPr="00EE1C06">
        <w:rPr>
          <w:color w:val="000000" w:themeColor="text1"/>
          <w:sz w:val="28"/>
          <w:szCs w:val="28"/>
        </w:rPr>
        <w:t xml:space="preserve">b) </w:t>
      </w:r>
      <w:r w:rsidR="005525E7" w:rsidRPr="00EE1C06">
        <w:rPr>
          <w:color w:val="000000" w:themeColor="text1"/>
          <w:sz w:val="28"/>
          <w:szCs w:val="28"/>
        </w:rPr>
        <w:t xml:space="preserve">Các nội dung chi được quy định tại các </w:t>
      </w:r>
      <w:bookmarkStart w:id="5" w:name="dc_2"/>
      <w:r w:rsidR="005525E7" w:rsidRPr="00EE1C06">
        <w:rPr>
          <w:color w:val="000000" w:themeColor="text1"/>
          <w:sz w:val="28"/>
          <w:szCs w:val="28"/>
        </w:rPr>
        <w:t>điểm b, c, d, g và h khoản 11 Điều 6 Nghị định số 265/2025/NĐ-CP</w:t>
      </w:r>
      <w:bookmarkEnd w:id="5"/>
      <w:r w:rsidR="005525E7" w:rsidRPr="00EE1C06">
        <w:rPr>
          <w:color w:val="000000" w:themeColor="text1"/>
          <w:sz w:val="28"/>
          <w:szCs w:val="28"/>
        </w:rPr>
        <w:t xml:space="preserve"> không thuộc phạm vi điều chỉnh của Quy định này, được thực hiện theo các quy định của pháp luật có liên quan.</w:t>
      </w:r>
    </w:p>
    <w:p w14:paraId="42A18D65" w14:textId="15D6ABC6" w:rsidR="008229EB" w:rsidRPr="00EE1C06" w:rsidRDefault="00616971" w:rsidP="00696797">
      <w:pPr>
        <w:spacing w:before="120" w:after="120" w:line="288" w:lineRule="auto"/>
        <w:ind w:firstLine="547"/>
        <w:jc w:val="both"/>
        <w:rPr>
          <w:rFonts w:asciiTheme="majorHAnsi" w:hAnsiTheme="majorHAnsi" w:cstheme="majorHAnsi"/>
          <w:color w:val="000000" w:themeColor="text1"/>
          <w:sz w:val="28"/>
          <w:szCs w:val="28"/>
          <w:lang w:val="nl-NL"/>
        </w:rPr>
      </w:pPr>
      <w:r w:rsidRPr="00EE1C06">
        <w:rPr>
          <w:rFonts w:asciiTheme="majorHAnsi" w:hAnsiTheme="majorHAnsi" w:cstheme="majorHAnsi"/>
          <w:color w:val="000000" w:themeColor="text1"/>
          <w:sz w:val="28"/>
          <w:szCs w:val="28"/>
          <w:lang w:val="nl-NL"/>
        </w:rPr>
        <w:t xml:space="preserve">c) </w:t>
      </w:r>
      <w:r w:rsidR="00C51236" w:rsidRPr="00EE1C06">
        <w:rPr>
          <w:rFonts w:asciiTheme="majorHAnsi" w:hAnsiTheme="majorHAnsi" w:cstheme="majorHAnsi"/>
          <w:color w:val="000000" w:themeColor="text1"/>
          <w:sz w:val="28"/>
          <w:szCs w:val="28"/>
          <w:lang w:val="nl-NL"/>
        </w:rPr>
        <w:t xml:space="preserve">Những nội dung không quy định tại </w:t>
      </w:r>
      <w:r w:rsidR="004D7367" w:rsidRPr="00EE1C06">
        <w:rPr>
          <w:rFonts w:asciiTheme="majorHAnsi" w:hAnsiTheme="majorHAnsi" w:cstheme="majorHAnsi"/>
          <w:color w:val="000000" w:themeColor="text1"/>
          <w:sz w:val="28"/>
          <w:szCs w:val="28"/>
          <w:lang w:val="nl-NL"/>
        </w:rPr>
        <w:t>Quy định</w:t>
      </w:r>
      <w:r w:rsidR="00C51236" w:rsidRPr="00EE1C06">
        <w:rPr>
          <w:rFonts w:asciiTheme="majorHAnsi" w:hAnsiTheme="majorHAnsi" w:cstheme="majorHAnsi"/>
          <w:color w:val="000000" w:themeColor="text1"/>
          <w:sz w:val="28"/>
          <w:szCs w:val="28"/>
          <w:lang w:val="nl-NL"/>
        </w:rPr>
        <w:t xml:space="preserve"> này thực hiện theo </w:t>
      </w:r>
      <w:r w:rsidR="008229EB" w:rsidRPr="00EE1C06">
        <w:rPr>
          <w:color w:val="000000" w:themeColor="text1"/>
          <w:sz w:val="28"/>
          <w:szCs w:val="28"/>
        </w:rPr>
        <w:t xml:space="preserve">Thông tư số 38/2025/TT-KHCN ngày 30 tháng 11 năm 2025 của Bộ trưởng Bộ Khoa học và Công nghệ </w:t>
      </w:r>
      <w:r w:rsidR="008229EB" w:rsidRPr="00EE1C06">
        <w:rPr>
          <w:rStyle w:val="fontstyle01"/>
          <w:color w:val="000000" w:themeColor="text1"/>
          <w:sz w:val="28"/>
          <w:szCs w:val="28"/>
        </w:rPr>
        <w:t>quy định về lập dự toán, quản lý sử dụng và quyết toán kinh phí ngân sách nhà nước đối với một số nội dung chi quản lý hoạt động khoa học, công nghệ và đổi mới sáng tạo.</w:t>
      </w:r>
    </w:p>
    <w:p w14:paraId="5691B813" w14:textId="173D99AE" w:rsidR="00556822" w:rsidRPr="00C859DB" w:rsidRDefault="00556822" w:rsidP="00696797">
      <w:pPr>
        <w:pStyle w:val="BodyText"/>
        <w:tabs>
          <w:tab w:val="left" w:pos="1096"/>
        </w:tabs>
        <w:spacing w:before="120" w:after="120" w:line="288" w:lineRule="auto"/>
        <w:ind w:firstLine="547"/>
        <w:rPr>
          <w:rFonts w:asciiTheme="majorHAnsi" w:hAnsiTheme="majorHAnsi" w:cstheme="majorHAnsi"/>
          <w:szCs w:val="28"/>
        </w:rPr>
      </w:pPr>
      <w:r w:rsidRPr="00C859DB">
        <w:rPr>
          <w:rFonts w:asciiTheme="majorHAnsi" w:hAnsiTheme="majorHAnsi" w:cstheme="majorHAnsi"/>
          <w:szCs w:val="28"/>
        </w:rPr>
        <w:t>2. Đối tượng áp dụng</w:t>
      </w:r>
    </w:p>
    <w:p w14:paraId="220CF2F2" w14:textId="5E88ED13" w:rsidR="008229EB" w:rsidRDefault="00684914" w:rsidP="00696797">
      <w:pPr>
        <w:pStyle w:val="BodyText"/>
        <w:tabs>
          <w:tab w:val="left" w:pos="1096"/>
        </w:tabs>
        <w:spacing w:before="120" w:after="120" w:line="288" w:lineRule="auto"/>
        <w:ind w:firstLine="547"/>
        <w:rPr>
          <w:rFonts w:asciiTheme="majorHAnsi" w:hAnsiTheme="majorHAnsi" w:cstheme="majorHAnsi"/>
          <w:szCs w:val="28"/>
        </w:rPr>
      </w:pPr>
      <w:r>
        <w:rPr>
          <w:rFonts w:asciiTheme="majorHAnsi" w:hAnsiTheme="majorHAnsi" w:cstheme="majorHAnsi"/>
          <w:szCs w:val="28"/>
          <w:lang w:val="nl-NL"/>
        </w:rPr>
        <w:t xml:space="preserve">Nghị quyết này áp </w:t>
      </w:r>
      <w:r w:rsidRPr="00A60C5F">
        <w:rPr>
          <w:szCs w:val="28"/>
        </w:rPr>
        <w:t>dụng đối với các cơ quan, đơn vị, tổ chức, doanh nghiệp và cá nhân hoạt động trong lĩnh vực khoa học, công nghệ và đổi mới sáng tạo có sử dụng ngân sách nhà nước và các tổ chức, cá nhân khác liên quan</w:t>
      </w:r>
      <w:r>
        <w:rPr>
          <w:szCs w:val="28"/>
        </w:rPr>
        <w:t>.</w:t>
      </w:r>
    </w:p>
    <w:p w14:paraId="4B4359A6" w14:textId="77777777" w:rsidR="00974FC4" w:rsidRPr="00C859DB" w:rsidRDefault="00556822" w:rsidP="00696797">
      <w:pPr>
        <w:spacing w:before="120" w:after="120" w:line="288" w:lineRule="auto"/>
        <w:ind w:firstLine="547"/>
        <w:jc w:val="both"/>
        <w:rPr>
          <w:rFonts w:asciiTheme="majorHAnsi" w:hAnsiTheme="majorHAnsi" w:cstheme="majorHAnsi"/>
          <w:b/>
          <w:bCs/>
          <w:sz w:val="28"/>
          <w:szCs w:val="28"/>
        </w:rPr>
      </w:pPr>
      <w:bookmarkStart w:id="6" w:name="dieu_3_1"/>
      <w:r w:rsidRPr="00C859DB">
        <w:rPr>
          <w:rFonts w:asciiTheme="majorHAnsi" w:hAnsiTheme="majorHAnsi" w:cstheme="majorHAnsi"/>
          <w:b/>
          <w:bCs/>
          <w:sz w:val="28"/>
          <w:szCs w:val="28"/>
        </w:rPr>
        <w:t>Điều 2. Nguyên tắc áp dụng</w:t>
      </w:r>
      <w:bookmarkEnd w:id="6"/>
      <w:r w:rsidR="001C3A5A" w:rsidRPr="00C859DB">
        <w:rPr>
          <w:rFonts w:asciiTheme="majorHAnsi" w:hAnsiTheme="majorHAnsi" w:cstheme="majorHAnsi"/>
          <w:b/>
          <w:bCs/>
          <w:sz w:val="28"/>
          <w:szCs w:val="28"/>
        </w:rPr>
        <w:t xml:space="preserve"> </w:t>
      </w:r>
    </w:p>
    <w:p w14:paraId="09FEAF1A" w14:textId="55EED10A" w:rsidR="00556822" w:rsidRPr="00EE1C06" w:rsidRDefault="00556822" w:rsidP="00696797">
      <w:pPr>
        <w:tabs>
          <w:tab w:val="left" w:pos="810"/>
        </w:tabs>
        <w:spacing w:before="120" w:after="120" w:line="288" w:lineRule="auto"/>
        <w:ind w:firstLine="547"/>
        <w:jc w:val="both"/>
        <w:rPr>
          <w:rFonts w:asciiTheme="majorHAnsi" w:hAnsiTheme="majorHAnsi" w:cstheme="majorHAnsi"/>
          <w:color w:val="000000" w:themeColor="text1"/>
          <w:sz w:val="28"/>
          <w:szCs w:val="28"/>
        </w:rPr>
      </w:pPr>
      <w:r w:rsidRPr="00EE1C06">
        <w:rPr>
          <w:rFonts w:asciiTheme="majorHAnsi" w:hAnsiTheme="majorHAnsi" w:cstheme="majorHAnsi"/>
          <w:color w:val="000000" w:themeColor="text1"/>
          <w:sz w:val="28"/>
          <w:szCs w:val="28"/>
        </w:rPr>
        <w:t>Các định mức xây dựng dự toán trong quy định này là định mức áp dụng</w:t>
      </w:r>
      <w:r w:rsidR="00684914" w:rsidRPr="00EE1C06">
        <w:rPr>
          <w:rFonts w:asciiTheme="majorHAnsi" w:hAnsiTheme="majorHAnsi" w:cstheme="majorHAnsi"/>
          <w:color w:val="000000" w:themeColor="text1"/>
          <w:sz w:val="28"/>
          <w:szCs w:val="28"/>
        </w:rPr>
        <w:t xml:space="preserve"> cho </w:t>
      </w:r>
      <w:r w:rsidR="00684914" w:rsidRPr="00EE1C06">
        <w:rPr>
          <w:color w:val="000000" w:themeColor="text1"/>
          <w:sz w:val="28"/>
          <w:szCs w:val="28"/>
        </w:rPr>
        <w:t>một số nội dung chi quản lý hoạt động khoa học, công nghệ và đổi mới sáng tạo có sử dụng ngân sách nhà nước</w:t>
      </w:r>
      <w:r w:rsidRPr="00EE1C06">
        <w:rPr>
          <w:rFonts w:asciiTheme="majorHAnsi" w:hAnsiTheme="majorHAnsi" w:cstheme="majorHAnsi"/>
          <w:color w:val="000000" w:themeColor="text1"/>
          <w:sz w:val="28"/>
          <w:szCs w:val="28"/>
        </w:rPr>
        <w:t xml:space="preserve"> trên địa bàn tỉnh </w:t>
      </w:r>
      <w:r w:rsidR="00EE4B5F" w:rsidRPr="00EE1C06">
        <w:rPr>
          <w:rFonts w:asciiTheme="majorHAnsi" w:hAnsiTheme="majorHAnsi" w:cstheme="majorHAnsi"/>
          <w:color w:val="000000" w:themeColor="text1"/>
          <w:sz w:val="28"/>
          <w:szCs w:val="28"/>
        </w:rPr>
        <w:t>Đồng Nai</w:t>
      </w:r>
      <w:r w:rsidRPr="00EE1C06">
        <w:rPr>
          <w:rFonts w:asciiTheme="majorHAnsi" w:hAnsiTheme="majorHAnsi" w:cstheme="majorHAnsi"/>
          <w:color w:val="000000" w:themeColor="text1"/>
          <w:sz w:val="28"/>
          <w:szCs w:val="28"/>
        </w:rPr>
        <w:t>.</w:t>
      </w:r>
    </w:p>
    <w:p w14:paraId="093EF377" w14:textId="0E396A77" w:rsidR="00556822" w:rsidRDefault="00556822" w:rsidP="00696797">
      <w:pPr>
        <w:tabs>
          <w:tab w:val="left" w:pos="810"/>
        </w:tabs>
        <w:spacing w:before="120" w:after="120" w:line="288" w:lineRule="auto"/>
        <w:ind w:firstLine="547"/>
        <w:jc w:val="both"/>
        <w:rPr>
          <w:rFonts w:asciiTheme="majorHAnsi" w:hAnsiTheme="majorHAnsi" w:cstheme="majorHAnsi"/>
          <w:b/>
          <w:bCs/>
          <w:sz w:val="28"/>
          <w:szCs w:val="28"/>
          <w:lang w:val="vi-VN"/>
        </w:rPr>
      </w:pPr>
      <w:bookmarkStart w:id="7" w:name="dieu_4"/>
      <w:r w:rsidRPr="00C859DB">
        <w:rPr>
          <w:rFonts w:asciiTheme="majorHAnsi" w:hAnsiTheme="majorHAnsi" w:cstheme="majorHAnsi"/>
          <w:b/>
          <w:bCs/>
          <w:sz w:val="28"/>
          <w:szCs w:val="28"/>
          <w:lang w:val="vi-VN"/>
        </w:rPr>
        <w:lastRenderedPageBreak/>
        <w:t xml:space="preserve">Điều </w:t>
      </w:r>
      <w:r w:rsidR="001758DF" w:rsidRPr="00C859DB">
        <w:rPr>
          <w:rFonts w:asciiTheme="majorHAnsi" w:hAnsiTheme="majorHAnsi" w:cstheme="majorHAnsi"/>
          <w:b/>
          <w:bCs/>
          <w:sz w:val="28"/>
          <w:szCs w:val="28"/>
        </w:rPr>
        <w:t>3</w:t>
      </w:r>
      <w:r w:rsidRPr="00C859DB">
        <w:rPr>
          <w:rFonts w:asciiTheme="majorHAnsi" w:hAnsiTheme="majorHAnsi" w:cstheme="majorHAnsi"/>
          <w:b/>
          <w:bCs/>
          <w:sz w:val="28"/>
          <w:szCs w:val="28"/>
          <w:lang w:val="vi-VN"/>
        </w:rPr>
        <w:t xml:space="preserve">. </w:t>
      </w:r>
      <w:bookmarkStart w:id="8" w:name="chuong_3"/>
      <w:bookmarkEnd w:id="7"/>
      <w:r w:rsidR="00684914" w:rsidRPr="00A60C5F">
        <w:rPr>
          <w:b/>
          <w:bCs/>
          <w:sz w:val="28"/>
          <w:szCs w:val="28"/>
        </w:rPr>
        <w:t>Một số định mức chi quản lý hoạt động khoa học, công nghệ và đổi mới sáng tạo</w:t>
      </w:r>
    </w:p>
    <w:p w14:paraId="4A807FB3" w14:textId="77777777" w:rsidR="00684914" w:rsidRPr="00A60C5F" w:rsidRDefault="00684914" w:rsidP="00696797">
      <w:pPr>
        <w:spacing w:before="120" w:after="120" w:line="288" w:lineRule="auto"/>
        <w:ind w:firstLine="547"/>
        <w:jc w:val="both"/>
        <w:rPr>
          <w:sz w:val="28"/>
          <w:szCs w:val="28"/>
        </w:rPr>
      </w:pPr>
      <w:r w:rsidRPr="00A60C5F">
        <w:rPr>
          <w:sz w:val="28"/>
          <w:szCs w:val="28"/>
        </w:rPr>
        <w:t xml:space="preserve">1. Chi hoạt động của các Hội đồng khoa học, công nghệ và đổi mới sáng tạo được quy định tại Nghị định số </w:t>
      </w:r>
      <w:bookmarkStart w:id="9" w:name="tvpllink_bwrjohzvoi_1"/>
      <w:r w:rsidRPr="00A60C5F">
        <w:rPr>
          <w:sz w:val="28"/>
          <w:szCs w:val="28"/>
        </w:rPr>
        <w:t>267/2025/NĐ-CP</w:t>
      </w:r>
      <w:bookmarkEnd w:id="9"/>
      <w:r w:rsidRPr="00A60C5F">
        <w:rPr>
          <w:sz w:val="28"/>
          <w:szCs w:val="28"/>
        </w:rPr>
        <w:t xml:space="preserve"> ngày 14 tháng 10 năm 2025 của Chính phủ quy định chi tiết và hướng dẫn thi hành một số điều của </w:t>
      </w:r>
      <w:bookmarkStart w:id="10" w:name="tvpllink_gftnlsauya_6"/>
      <w:r w:rsidRPr="00A60C5F">
        <w:rPr>
          <w:sz w:val="28"/>
          <w:szCs w:val="28"/>
        </w:rPr>
        <w:t>Luật Khoa học, Công nghệ và Đổi mới sáng tạo</w:t>
      </w:r>
      <w:bookmarkEnd w:id="10"/>
      <w:r w:rsidRPr="00A60C5F">
        <w:rPr>
          <w:sz w:val="28"/>
          <w:szCs w:val="28"/>
        </w:rPr>
        <w:t xml:space="preserve"> về chương trình, nhiệm vụ khoa học, công nghệ và đổi mới sáng tạo và một số quy định về thúc đẩy hoạt động nghiên cứu khoa học, phát triển công nghệ và đổi mới sáng tạo (sau đây viết tắt là Nghị định số </w:t>
      </w:r>
      <w:bookmarkStart w:id="11" w:name="tvpllink_bwrjohzvoi_2"/>
      <w:r w:rsidRPr="00A60C5F">
        <w:rPr>
          <w:sz w:val="28"/>
          <w:szCs w:val="28"/>
        </w:rPr>
        <w:t>267/2025/NĐ-CP</w:t>
      </w:r>
      <w:bookmarkEnd w:id="11"/>
      <w:r w:rsidRPr="00A60C5F">
        <w:rPr>
          <w:sz w:val="28"/>
          <w:szCs w:val="28"/>
        </w:rPr>
        <w:t xml:space="preserve">) và Nghị định </w:t>
      </w:r>
      <w:bookmarkStart w:id="12" w:name="tvpllink_mhofgappxr_1"/>
      <w:r w:rsidRPr="00A60C5F">
        <w:rPr>
          <w:sz w:val="28"/>
          <w:szCs w:val="28"/>
        </w:rPr>
        <w:t>268/2025/NĐ-CP</w:t>
      </w:r>
      <w:bookmarkEnd w:id="12"/>
      <w:r w:rsidRPr="00A60C5F">
        <w:rPr>
          <w:sz w:val="28"/>
          <w:szCs w:val="28"/>
        </w:rPr>
        <w:t xml:space="preserve"> ngày 14 tháng 10 năm 2025 của Chính phủ quy định chi tiết và hướng dẫn thi hành một số điều của </w:t>
      </w:r>
      <w:bookmarkStart w:id="13" w:name="tvpllink_gftnlsauya_7"/>
      <w:r w:rsidRPr="00A60C5F">
        <w:rPr>
          <w:sz w:val="28"/>
          <w:szCs w:val="28"/>
        </w:rPr>
        <w:t>Luật Khoa học, Công nghệ và Đổi mới sáng tạo</w:t>
      </w:r>
      <w:bookmarkEnd w:id="13"/>
      <w:r w:rsidRPr="00A60C5F">
        <w:rPr>
          <w:sz w:val="28"/>
          <w:szCs w:val="28"/>
        </w:rPr>
        <w:t xml:space="preserve"> về đổi mới sáng tạo; khuyến khích hoạt động khoa học, công nghệ và đổi mới sáng tạo trong doanh nghiệp; công nhận trung tâm đổi mới sáng tạo, hỗ trợ khởi nghiệp sáng tạo; công nhận cá nhân, doanh nghiệp khởi nghiệp sáng tạo; hạ tầng, mạng lưới và hệ sinh thái khởi nghiệp sáng tạo (sau đây viết tắt là Nghị định </w:t>
      </w:r>
      <w:bookmarkStart w:id="14" w:name="tvpllink_mhofgappxr_2"/>
      <w:r w:rsidRPr="00A60C5F">
        <w:rPr>
          <w:sz w:val="28"/>
          <w:szCs w:val="28"/>
        </w:rPr>
        <w:t>268/2025/NĐ-CP</w:t>
      </w:r>
      <w:bookmarkEnd w:id="14"/>
      <w:r w:rsidRPr="00A60C5F">
        <w:rPr>
          <w:sz w:val="28"/>
          <w:szCs w:val="28"/>
        </w:rPr>
        <w:t>) như sau:</w:t>
      </w:r>
    </w:p>
    <w:p w14:paraId="3EAFC18E" w14:textId="77777777" w:rsidR="00684914" w:rsidRPr="00A60C5F" w:rsidRDefault="00684914" w:rsidP="00696797">
      <w:pPr>
        <w:spacing w:before="120" w:after="120" w:line="288" w:lineRule="auto"/>
        <w:ind w:firstLine="547"/>
        <w:jc w:val="both"/>
        <w:rPr>
          <w:sz w:val="28"/>
          <w:szCs w:val="28"/>
        </w:rPr>
      </w:pPr>
      <w:r w:rsidRPr="00A60C5F">
        <w:rPr>
          <w:sz w:val="28"/>
          <w:szCs w:val="28"/>
        </w:rPr>
        <w:t>a) Chi tiền thù lao</w:t>
      </w:r>
    </w:p>
    <w:p w14:paraId="77A14205" w14:textId="77777777" w:rsidR="00684914" w:rsidRPr="00A60C5F" w:rsidRDefault="00684914" w:rsidP="00684914">
      <w:pPr>
        <w:spacing w:before="120" w:after="120" w:line="264" w:lineRule="auto"/>
        <w:ind w:firstLine="540"/>
        <w:jc w:val="right"/>
        <w:rPr>
          <w:sz w:val="28"/>
          <w:szCs w:val="28"/>
        </w:rPr>
      </w:pPr>
      <w:r w:rsidRPr="00A60C5F">
        <w:rPr>
          <w:i/>
          <w:iCs/>
          <w:sz w:val="28"/>
          <w:szCs w:val="28"/>
        </w:rPr>
        <w:t>Đơn vị tính: 1.000 đồng/1 người/1 phiếu nhận xét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66"/>
        <w:gridCol w:w="4355"/>
        <w:gridCol w:w="1455"/>
        <w:gridCol w:w="2074"/>
      </w:tblGrid>
      <w:tr w:rsidR="00684914" w:rsidRPr="00A60C5F" w14:paraId="3E0F3404" w14:textId="77777777" w:rsidTr="0018539E">
        <w:tc>
          <w:tcPr>
            <w:tcW w:w="6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006EA711" w14:textId="77777777" w:rsidR="00684914" w:rsidRPr="00696797" w:rsidRDefault="00684914" w:rsidP="0018539E">
            <w:pPr>
              <w:spacing w:before="120" w:after="120" w:line="264" w:lineRule="auto"/>
              <w:jc w:val="center"/>
              <w:rPr>
                <w:sz w:val="26"/>
                <w:szCs w:val="26"/>
              </w:rPr>
            </w:pPr>
            <w:r w:rsidRPr="00696797">
              <w:rPr>
                <w:b/>
                <w:bCs/>
                <w:sz w:val="26"/>
                <w:szCs w:val="26"/>
              </w:rPr>
              <w:t>TT</w:t>
            </w:r>
          </w:p>
        </w:tc>
        <w:tc>
          <w:tcPr>
            <w:tcW w:w="2406" w:type="pct"/>
            <w:tcBorders>
              <w:top w:val="single" w:sz="8" w:space="0" w:color="auto"/>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300BE45C" w14:textId="77777777" w:rsidR="00684914" w:rsidRPr="00696797" w:rsidRDefault="00684914" w:rsidP="0018539E">
            <w:pPr>
              <w:spacing w:before="120" w:after="120" w:line="264" w:lineRule="auto"/>
              <w:jc w:val="center"/>
              <w:rPr>
                <w:sz w:val="26"/>
                <w:szCs w:val="26"/>
              </w:rPr>
            </w:pPr>
            <w:r w:rsidRPr="00696797">
              <w:rPr>
                <w:b/>
                <w:bCs/>
                <w:sz w:val="26"/>
                <w:szCs w:val="26"/>
              </w:rPr>
              <w:t>Nội dung công việc</w:t>
            </w:r>
          </w:p>
        </w:tc>
        <w:tc>
          <w:tcPr>
            <w:tcW w:w="804" w:type="pct"/>
            <w:tcBorders>
              <w:top w:val="single" w:sz="8" w:space="0" w:color="auto"/>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3446534" w14:textId="77777777" w:rsidR="00684914" w:rsidRPr="00696797" w:rsidRDefault="00684914" w:rsidP="0018539E">
            <w:pPr>
              <w:spacing w:before="120" w:after="120" w:line="264" w:lineRule="auto"/>
              <w:jc w:val="center"/>
              <w:rPr>
                <w:sz w:val="26"/>
                <w:szCs w:val="26"/>
              </w:rPr>
            </w:pPr>
            <w:r w:rsidRPr="00696797">
              <w:rPr>
                <w:b/>
                <w:bCs/>
                <w:sz w:val="26"/>
                <w:szCs w:val="26"/>
              </w:rPr>
              <w:t>Đơn vị tính</w:t>
            </w:r>
          </w:p>
        </w:tc>
        <w:tc>
          <w:tcPr>
            <w:tcW w:w="1146" w:type="pct"/>
            <w:tcBorders>
              <w:top w:val="single" w:sz="8" w:space="0" w:color="auto"/>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01EB61AF" w14:textId="042E1023" w:rsidR="00684914" w:rsidRPr="00696797" w:rsidRDefault="00684914" w:rsidP="00684914">
            <w:pPr>
              <w:spacing w:before="120" w:after="120" w:line="264" w:lineRule="auto"/>
              <w:jc w:val="center"/>
              <w:rPr>
                <w:sz w:val="26"/>
                <w:szCs w:val="26"/>
              </w:rPr>
            </w:pPr>
            <w:r w:rsidRPr="00696797">
              <w:rPr>
                <w:b/>
                <w:bCs/>
                <w:sz w:val="26"/>
                <w:szCs w:val="26"/>
              </w:rPr>
              <w:t xml:space="preserve">Định mức chi </w:t>
            </w:r>
          </w:p>
        </w:tc>
      </w:tr>
      <w:tr w:rsidR="00684914" w:rsidRPr="00A60C5F" w14:paraId="67C25FD8"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84B5532" w14:textId="77777777" w:rsidR="00684914" w:rsidRPr="00696797" w:rsidRDefault="00684914" w:rsidP="0018539E">
            <w:pPr>
              <w:spacing w:before="120" w:after="120" w:line="264" w:lineRule="auto"/>
              <w:jc w:val="center"/>
              <w:rPr>
                <w:sz w:val="26"/>
                <w:szCs w:val="26"/>
              </w:rPr>
            </w:pPr>
            <w:r w:rsidRPr="00696797">
              <w:rPr>
                <w:b/>
                <w:bCs/>
                <w:sz w:val="26"/>
                <w:szCs w:val="26"/>
              </w:rPr>
              <w:t>1</w:t>
            </w: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2D10448B" w14:textId="77777777" w:rsidR="00684914" w:rsidRPr="00696797" w:rsidRDefault="00684914" w:rsidP="00F86C2C">
            <w:pPr>
              <w:spacing w:before="120" w:after="120" w:line="264" w:lineRule="auto"/>
              <w:ind w:left="60" w:right="110"/>
              <w:jc w:val="both"/>
              <w:rPr>
                <w:sz w:val="26"/>
                <w:szCs w:val="26"/>
              </w:rPr>
            </w:pPr>
            <w:r w:rsidRPr="00696797">
              <w:rPr>
                <w:b/>
                <w:bCs/>
                <w:sz w:val="26"/>
                <w:szCs w:val="26"/>
              </w:rPr>
              <w:t>Chi Hội đồng: xét tài trợ, đặt hàng nhiệm vụ khoa học, công nghệ và đổi mới sáng tạo; xét duyệt nhiệm vụ đổi mới sáng tạo; xác định danh mục đổi mới sáng tạo đặt hàng; xét duyệt hồ sơ đề nghị hỗ trợ lãi suất vay; xác định danh mục các chương trình hỗ trợ tài chính, phân bổ kinh phí đối với từng chương trình hỗ trợ tài chính; tư vấn thẩm định hồ sơ yêu cầu công nhận trung tâm nghiên cứu và phát triển</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422591E"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14C1BED3" w14:textId="77777777" w:rsidR="00684914" w:rsidRPr="00696797" w:rsidRDefault="00684914" w:rsidP="0018539E">
            <w:pPr>
              <w:spacing w:before="120" w:after="120" w:line="264" w:lineRule="auto"/>
              <w:jc w:val="center"/>
              <w:rPr>
                <w:sz w:val="26"/>
                <w:szCs w:val="26"/>
              </w:rPr>
            </w:pPr>
          </w:p>
        </w:tc>
      </w:tr>
      <w:tr w:rsidR="00684914" w:rsidRPr="00A60C5F" w14:paraId="0D92B2EC"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26E3CE57" w14:textId="77777777" w:rsidR="00684914" w:rsidRPr="00696797" w:rsidRDefault="00684914" w:rsidP="0018539E">
            <w:pPr>
              <w:spacing w:before="120" w:after="120" w:line="264" w:lineRule="auto"/>
              <w:jc w:val="center"/>
              <w:rPr>
                <w:sz w:val="26"/>
                <w:szCs w:val="26"/>
              </w:rPr>
            </w:pPr>
            <w:r w:rsidRPr="00696797">
              <w:rPr>
                <w:sz w:val="26"/>
                <w:szCs w:val="26"/>
              </w:rPr>
              <w:t>a</w:t>
            </w: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0C6FB687" w14:textId="77777777" w:rsidR="00684914" w:rsidRPr="00696797" w:rsidRDefault="00684914" w:rsidP="00F86C2C">
            <w:pPr>
              <w:spacing w:before="120" w:after="120" w:line="264" w:lineRule="auto"/>
              <w:ind w:left="60" w:right="110"/>
              <w:jc w:val="both"/>
              <w:rPr>
                <w:sz w:val="26"/>
                <w:szCs w:val="26"/>
              </w:rPr>
            </w:pPr>
            <w:r w:rsidRPr="00696797">
              <w:rPr>
                <w:sz w:val="26"/>
                <w:szCs w:val="26"/>
              </w:rPr>
              <w:t>Chi họp Hội đồng</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34BA0121" w14:textId="77777777" w:rsidR="00684914" w:rsidRPr="00696797" w:rsidRDefault="00684914" w:rsidP="0018539E">
            <w:pPr>
              <w:spacing w:before="120" w:after="120" w:line="264" w:lineRule="auto"/>
              <w:jc w:val="center"/>
              <w:rPr>
                <w:sz w:val="26"/>
                <w:szCs w:val="26"/>
              </w:rPr>
            </w:pPr>
            <w:r w:rsidRPr="00696797">
              <w:rPr>
                <w:sz w:val="26"/>
                <w:szCs w:val="26"/>
              </w:rPr>
              <w:t>Hội đồng</w:t>
            </w: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ECA2FA5" w14:textId="77777777" w:rsidR="00684914" w:rsidRPr="00696797" w:rsidRDefault="00684914" w:rsidP="0018539E">
            <w:pPr>
              <w:spacing w:before="120" w:after="120" w:line="264" w:lineRule="auto"/>
              <w:jc w:val="center"/>
              <w:rPr>
                <w:sz w:val="26"/>
                <w:szCs w:val="26"/>
              </w:rPr>
            </w:pPr>
          </w:p>
        </w:tc>
      </w:tr>
      <w:tr w:rsidR="00684914" w:rsidRPr="00A60C5F" w14:paraId="15419302"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4FE6C360"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2E22A31" w14:textId="77777777" w:rsidR="00684914" w:rsidRPr="00696797" w:rsidRDefault="00684914" w:rsidP="00F86C2C">
            <w:pPr>
              <w:spacing w:before="120" w:after="120" w:line="264" w:lineRule="auto"/>
              <w:ind w:left="60" w:right="110"/>
              <w:jc w:val="both"/>
              <w:rPr>
                <w:sz w:val="26"/>
                <w:szCs w:val="26"/>
              </w:rPr>
            </w:pPr>
            <w:r w:rsidRPr="00696797">
              <w:rPr>
                <w:sz w:val="26"/>
                <w:szCs w:val="26"/>
              </w:rPr>
              <w:t>Chủ tịch Hội đồng</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19797E5B"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4F139C1" w14:textId="77777777" w:rsidR="00684914" w:rsidRPr="00696797" w:rsidRDefault="00684914" w:rsidP="0018539E">
            <w:pPr>
              <w:spacing w:before="120" w:after="120" w:line="264" w:lineRule="auto"/>
              <w:jc w:val="center"/>
              <w:rPr>
                <w:sz w:val="26"/>
                <w:szCs w:val="26"/>
              </w:rPr>
            </w:pPr>
            <w:r w:rsidRPr="00696797">
              <w:rPr>
                <w:sz w:val="26"/>
                <w:szCs w:val="26"/>
              </w:rPr>
              <w:t>1.800</w:t>
            </w:r>
          </w:p>
        </w:tc>
      </w:tr>
      <w:tr w:rsidR="00684914" w:rsidRPr="00A60C5F" w14:paraId="6F57DDDC" w14:textId="77777777" w:rsidTr="00463CBA">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4" w:space="0" w:color="auto"/>
              <w:right w:val="single" w:sz="8" w:space="0" w:color="auto"/>
              <w:tl2br w:val="nil"/>
              <w:tr2bl w:val="nil"/>
            </w:tcBorders>
            <w:shd w:val="clear" w:color="auto" w:fill="auto"/>
            <w:tcMar>
              <w:top w:w="21" w:type="dxa"/>
              <w:left w:w="21" w:type="dxa"/>
              <w:bottom w:w="21" w:type="dxa"/>
              <w:right w:w="21" w:type="dxa"/>
            </w:tcMar>
            <w:vAlign w:val="center"/>
          </w:tcPr>
          <w:p w14:paraId="0FB16ACD"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4" w:space="0" w:color="auto"/>
              <w:right w:val="single" w:sz="8" w:space="0" w:color="auto"/>
              <w:tl2br w:val="nil"/>
              <w:tr2bl w:val="nil"/>
            </w:tcBorders>
            <w:shd w:val="clear" w:color="auto" w:fill="auto"/>
            <w:tcMar>
              <w:top w:w="21" w:type="dxa"/>
              <w:left w:w="21" w:type="dxa"/>
              <w:bottom w:w="21" w:type="dxa"/>
              <w:right w:w="21" w:type="dxa"/>
            </w:tcMar>
            <w:vAlign w:val="center"/>
          </w:tcPr>
          <w:p w14:paraId="245B015B" w14:textId="77777777" w:rsidR="00684914" w:rsidRPr="00696797" w:rsidRDefault="00684914" w:rsidP="00F86C2C">
            <w:pPr>
              <w:spacing w:before="120" w:after="120" w:line="264" w:lineRule="auto"/>
              <w:ind w:left="60" w:right="110"/>
              <w:jc w:val="both"/>
              <w:rPr>
                <w:sz w:val="26"/>
                <w:szCs w:val="26"/>
              </w:rPr>
            </w:pPr>
            <w:r w:rsidRPr="00696797">
              <w:rPr>
                <w:sz w:val="26"/>
                <w:szCs w:val="26"/>
              </w:rPr>
              <w:t>Phó chủ tịch Hội đồng; thành viên (ủy viên) Hội đồng</w:t>
            </w:r>
          </w:p>
        </w:tc>
        <w:tc>
          <w:tcPr>
            <w:tcW w:w="804" w:type="pct"/>
            <w:tcBorders>
              <w:top w:val="nil"/>
              <w:left w:val="nil"/>
              <w:bottom w:val="single" w:sz="4" w:space="0" w:color="auto"/>
              <w:right w:val="single" w:sz="8" w:space="0" w:color="auto"/>
              <w:tl2br w:val="nil"/>
              <w:tr2bl w:val="nil"/>
            </w:tcBorders>
            <w:shd w:val="clear" w:color="auto" w:fill="auto"/>
            <w:tcMar>
              <w:top w:w="21" w:type="dxa"/>
              <w:left w:w="21" w:type="dxa"/>
              <w:bottom w:w="21" w:type="dxa"/>
              <w:right w:w="21" w:type="dxa"/>
            </w:tcMar>
            <w:vAlign w:val="center"/>
          </w:tcPr>
          <w:p w14:paraId="524FD374"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4" w:space="0" w:color="auto"/>
              <w:right w:val="single" w:sz="8" w:space="0" w:color="auto"/>
              <w:tl2br w:val="nil"/>
              <w:tr2bl w:val="nil"/>
            </w:tcBorders>
            <w:shd w:val="clear" w:color="auto" w:fill="auto"/>
            <w:tcMar>
              <w:top w:w="21" w:type="dxa"/>
              <w:left w:w="21" w:type="dxa"/>
              <w:bottom w:w="21" w:type="dxa"/>
              <w:right w:w="21" w:type="dxa"/>
            </w:tcMar>
            <w:vAlign w:val="center"/>
          </w:tcPr>
          <w:p w14:paraId="5B6FE959" w14:textId="77777777" w:rsidR="00684914" w:rsidRPr="00696797" w:rsidRDefault="00684914" w:rsidP="0018539E">
            <w:pPr>
              <w:spacing w:before="120" w:after="120" w:line="264" w:lineRule="auto"/>
              <w:jc w:val="center"/>
              <w:rPr>
                <w:sz w:val="26"/>
                <w:szCs w:val="26"/>
              </w:rPr>
            </w:pPr>
            <w:r w:rsidRPr="00696797">
              <w:rPr>
                <w:sz w:val="26"/>
                <w:szCs w:val="26"/>
              </w:rPr>
              <w:t>1.500</w:t>
            </w:r>
          </w:p>
        </w:tc>
      </w:tr>
      <w:tr w:rsidR="00684914" w:rsidRPr="00A60C5F" w14:paraId="57155008" w14:textId="77777777" w:rsidTr="00463CBA">
        <w:tblPrEx>
          <w:tblBorders>
            <w:top w:val="none" w:sz="0" w:space="0" w:color="auto"/>
            <w:bottom w:val="none" w:sz="0" w:space="0" w:color="auto"/>
            <w:insideH w:val="none" w:sz="0" w:space="0" w:color="auto"/>
            <w:insideV w:val="none" w:sz="0" w:space="0" w:color="auto"/>
          </w:tblBorders>
        </w:tblPrEx>
        <w:tc>
          <w:tcPr>
            <w:tcW w:w="6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21" w:type="dxa"/>
              <w:left w:w="21" w:type="dxa"/>
              <w:bottom w:w="21" w:type="dxa"/>
              <w:right w:w="21" w:type="dxa"/>
            </w:tcMar>
            <w:vAlign w:val="center"/>
          </w:tcPr>
          <w:p w14:paraId="18E73BA8" w14:textId="77777777" w:rsidR="00684914" w:rsidRPr="00696797" w:rsidRDefault="00684914" w:rsidP="0018539E">
            <w:pPr>
              <w:spacing w:before="120" w:after="120" w:line="264" w:lineRule="auto"/>
              <w:jc w:val="center"/>
              <w:rPr>
                <w:sz w:val="26"/>
                <w:szCs w:val="26"/>
              </w:rPr>
            </w:pPr>
          </w:p>
        </w:tc>
        <w:tc>
          <w:tcPr>
            <w:tcW w:w="24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21" w:type="dxa"/>
              <w:left w:w="21" w:type="dxa"/>
              <w:bottom w:w="21" w:type="dxa"/>
              <w:right w:w="21" w:type="dxa"/>
            </w:tcMar>
            <w:vAlign w:val="center"/>
          </w:tcPr>
          <w:p w14:paraId="79E863E2" w14:textId="77777777" w:rsidR="00684914" w:rsidRPr="00696797" w:rsidRDefault="00684914" w:rsidP="00F86C2C">
            <w:pPr>
              <w:spacing w:before="120" w:after="120" w:line="264" w:lineRule="auto"/>
              <w:ind w:left="60" w:right="110"/>
              <w:jc w:val="both"/>
              <w:rPr>
                <w:sz w:val="26"/>
                <w:szCs w:val="26"/>
              </w:rPr>
            </w:pPr>
            <w:r w:rsidRPr="00696797">
              <w:rPr>
                <w:sz w:val="26"/>
                <w:szCs w:val="26"/>
              </w:rPr>
              <w:t>Thư ký khoa học</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21" w:type="dxa"/>
              <w:left w:w="21" w:type="dxa"/>
              <w:bottom w:w="21" w:type="dxa"/>
              <w:right w:w="21" w:type="dxa"/>
            </w:tcMar>
            <w:vAlign w:val="center"/>
          </w:tcPr>
          <w:p w14:paraId="634CDCB8" w14:textId="77777777" w:rsidR="00684914" w:rsidRPr="00696797" w:rsidRDefault="00684914" w:rsidP="0018539E">
            <w:pPr>
              <w:spacing w:before="120" w:after="120" w:line="264" w:lineRule="auto"/>
              <w:jc w:val="center"/>
              <w:rPr>
                <w:sz w:val="26"/>
                <w:szCs w:val="26"/>
              </w:rPr>
            </w:pPr>
          </w:p>
        </w:tc>
        <w:tc>
          <w:tcPr>
            <w:tcW w:w="11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21" w:type="dxa"/>
              <w:left w:w="21" w:type="dxa"/>
              <w:bottom w:w="21" w:type="dxa"/>
              <w:right w:w="21" w:type="dxa"/>
            </w:tcMar>
            <w:vAlign w:val="center"/>
          </w:tcPr>
          <w:p w14:paraId="16BC765B" w14:textId="77777777" w:rsidR="00684914" w:rsidRPr="00696797" w:rsidRDefault="00684914" w:rsidP="0018539E">
            <w:pPr>
              <w:spacing w:before="120" w:after="120" w:line="264" w:lineRule="auto"/>
              <w:jc w:val="center"/>
              <w:rPr>
                <w:sz w:val="26"/>
                <w:szCs w:val="26"/>
              </w:rPr>
            </w:pPr>
            <w:r w:rsidRPr="00696797">
              <w:rPr>
                <w:sz w:val="26"/>
                <w:szCs w:val="26"/>
              </w:rPr>
              <w:t>300</w:t>
            </w:r>
          </w:p>
        </w:tc>
      </w:tr>
      <w:tr w:rsidR="00684914" w:rsidRPr="00A60C5F" w14:paraId="574A1E80" w14:textId="77777777" w:rsidTr="00463CBA">
        <w:tblPrEx>
          <w:tblBorders>
            <w:top w:val="none" w:sz="0" w:space="0" w:color="auto"/>
            <w:bottom w:val="none" w:sz="0" w:space="0" w:color="auto"/>
            <w:insideH w:val="none" w:sz="0" w:space="0" w:color="auto"/>
            <w:insideV w:val="none" w:sz="0" w:space="0" w:color="auto"/>
          </w:tblBorders>
        </w:tblPrEx>
        <w:tc>
          <w:tcPr>
            <w:tcW w:w="644" w:type="pct"/>
            <w:tcBorders>
              <w:top w:val="single" w:sz="4" w:space="0" w:color="auto"/>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7AC2DFA" w14:textId="77777777" w:rsidR="00684914" w:rsidRPr="00696797" w:rsidRDefault="00684914" w:rsidP="0018539E">
            <w:pPr>
              <w:spacing w:before="120" w:after="120" w:line="264" w:lineRule="auto"/>
              <w:jc w:val="center"/>
              <w:rPr>
                <w:sz w:val="26"/>
                <w:szCs w:val="26"/>
              </w:rPr>
            </w:pPr>
          </w:p>
        </w:tc>
        <w:tc>
          <w:tcPr>
            <w:tcW w:w="2406" w:type="pct"/>
            <w:tcBorders>
              <w:top w:val="single" w:sz="4" w:space="0" w:color="auto"/>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36CBF50" w14:textId="77777777" w:rsidR="00684914" w:rsidRPr="00696797" w:rsidRDefault="00684914" w:rsidP="00F86C2C">
            <w:pPr>
              <w:spacing w:before="120" w:after="120" w:line="264" w:lineRule="auto"/>
              <w:ind w:left="60" w:right="110"/>
              <w:jc w:val="both"/>
              <w:rPr>
                <w:sz w:val="26"/>
                <w:szCs w:val="26"/>
              </w:rPr>
            </w:pPr>
            <w:r w:rsidRPr="00696797">
              <w:rPr>
                <w:sz w:val="26"/>
                <w:szCs w:val="26"/>
              </w:rPr>
              <w:t>Thư ký hành chính</w:t>
            </w:r>
          </w:p>
        </w:tc>
        <w:tc>
          <w:tcPr>
            <w:tcW w:w="804" w:type="pct"/>
            <w:tcBorders>
              <w:top w:val="single" w:sz="4" w:space="0" w:color="auto"/>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0DF444B2" w14:textId="77777777" w:rsidR="00684914" w:rsidRPr="00696797" w:rsidRDefault="00684914" w:rsidP="0018539E">
            <w:pPr>
              <w:spacing w:before="120" w:after="120" w:line="264" w:lineRule="auto"/>
              <w:jc w:val="center"/>
              <w:rPr>
                <w:sz w:val="26"/>
                <w:szCs w:val="26"/>
              </w:rPr>
            </w:pPr>
          </w:p>
        </w:tc>
        <w:tc>
          <w:tcPr>
            <w:tcW w:w="1146" w:type="pct"/>
            <w:tcBorders>
              <w:top w:val="single" w:sz="4" w:space="0" w:color="auto"/>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EFC11F7" w14:textId="77777777" w:rsidR="00684914" w:rsidRPr="00696797" w:rsidRDefault="00684914" w:rsidP="0018539E">
            <w:pPr>
              <w:spacing w:before="120" w:after="120" w:line="264" w:lineRule="auto"/>
              <w:jc w:val="center"/>
              <w:rPr>
                <w:sz w:val="26"/>
                <w:szCs w:val="26"/>
              </w:rPr>
            </w:pPr>
            <w:r w:rsidRPr="00696797">
              <w:rPr>
                <w:sz w:val="26"/>
                <w:szCs w:val="26"/>
              </w:rPr>
              <w:t>300</w:t>
            </w:r>
          </w:p>
        </w:tc>
      </w:tr>
      <w:tr w:rsidR="00684914" w:rsidRPr="00A60C5F" w14:paraId="0EC952A7"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180F262"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ADF8A4B" w14:textId="77777777" w:rsidR="00684914" w:rsidRPr="00696797" w:rsidRDefault="00684914" w:rsidP="00F86C2C">
            <w:pPr>
              <w:spacing w:before="120" w:after="120" w:line="264" w:lineRule="auto"/>
              <w:ind w:left="60" w:right="110"/>
              <w:jc w:val="both"/>
              <w:rPr>
                <w:sz w:val="26"/>
                <w:szCs w:val="26"/>
              </w:rPr>
            </w:pPr>
            <w:r w:rsidRPr="00696797">
              <w:rPr>
                <w:sz w:val="26"/>
                <w:szCs w:val="26"/>
              </w:rPr>
              <w:t>Đại biểu được mời tham dự</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4CC94047"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FB3C63F" w14:textId="77777777" w:rsidR="00684914" w:rsidRPr="00696797" w:rsidRDefault="00684914" w:rsidP="0018539E">
            <w:pPr>
              <w:spacing w:before="120" w:after="120" w:line="264" w:lineRule="auto"/>
              <w:jc w:val="center"/>
              <w:rPr>
                <w:sz w:val="26"/>
                <w:szCs w:val="26"/>
              </w:rPr>
            </w:pPr>
            <w:r w:rsidRPr="00696797">
              <w:rPr>
                <w:sz w:val="26"/>
                <w:szCs w:val="26"/>
              </w:rPr>
              <w:t>200</w:t>
            </w:r>
          </w:p>
        </w:tc>
      </w:tr>
      <w:tr w:rsidR="00684914" w:rsidRPr="00A60C5F" w14:paraId="75F08A4A"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C749C7E" w14:textId="77777777" w:rsidR="00684914" w:rsidRPr="00696797" w:rsidRDefault="00684914" w:rsidP="0018539E">
            <w:pPr>
              <w:spacing w:before="120" w:after="120" w:line="264" w:lineRule="auto"/>
              <w:jc w:val="center"/>
              <w:rPr>
                <w:sz w:val="26"/>
                <w:szCs w:val="26"/>
              </w:rPr>
            </w:pPr>
            <w:r w:rsidRPr="00696797">
              <w:rPr>
                <w:sz w:val="26"/>
                <w:szCs w:val="26"/>
              </w:rPr>
              <w:t>b</w:t>
            </w: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00A48716" w14:textId="77777777" w:rsidR="00684914" w:rsidRPr="00696797" w:rsidRDefault="00684914" w:rsidP="00F86C2C">
            <w:pPr>
              <w:spacing w:before="120" w:after="120" w:line="264" w:lineRule="auto"/>
              <w:ind w:left="60" w:right="110"/>
              <w:jc w:val="both"/>
              <w:rPr>
                <w:sz w:val="26"/>
                <w:szCs w:val="26"/>
              </w:rPr>
            </w:pPr>
            <w:r w:rsidRPr="00696797">
              <w:rPr>
                <w:sz w:val="26"/>
                <w:szCs w:val="26"/>
              </w:rPr>
              <w:t>Chi nhận xét đánh giá</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42DF0D64" w14:textId="77777777" w:rsidR="00684914" w:rsidRPr="00696797" w:rsidRDefault="00684914" w:rsidP="0018539E">
            <w:pPr>
              <w:spacing w:before="120" w:after="120" w:line="264" w:lineRule="auto"/>
              <w:jc w:val="center"/>
              <w:rPr>
                <w:sz w:val="26"/>
                <w:szCs w:val="26"/>
              </w:rPr>
            </w:pPr>
            <w:r w:rsidRPr="00696797">
              <w:rPr>
                <w:sz w:val="26"/>
                <w:szCs w:val="26"/>
              </w:rPr>
              <w:t>01 phiếu nhận xét</w:t>
            </w: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02118A3A" w14:textId="77777777" w:rsidR="00684914" w:rsidRPr="00696797" w:rsidRDefault="00684914" w:rsidP="0018539E">
            <w:pPr>
              <w:spacing w:before="120" w:after="120" w:line="264" w:lineRule="auto"/>
              <w:jc w:val="center"/>
              <w:rPr>
                <w:sz w:val="26"/>
                <w:szCs w:val="26"/>
              </w:rPr>
            </w:pPr>
          </w:p>
        </w:tc>
      </w:tr>
      <w:tr w:rsidR="00684914" w:rsidRPr="00A60C5F" w14:paraId="4AC8E463"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27F63412"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2B385269" w14:textId="77777777" w:rsidR="00684914" w:rsidRPr="00696797" w:rsidRDefault="00684914" w:rsidP="00F86C2C">
            <w:pPr>
              <w:spacing w:before="120" w:after="120" w:line="264" w:lineRule="auto"/>
              <w:ind w:left="60" w:right="110"/>
              <w:jc w:val="both"/>
              <w:rPr>
                <w:sz w:val="26"/>
                <w:szCs w:val="26"/>
              </w:rPr>
            </w:pPr>
            <w:r w:rsidRPr="00696797">
              <w:rPr>
                <w:sz w:val="26"/>
                <w:szCs w:val="26"/>
              </w:rPr>
              <w:t>Nhận xét đánh giá của thành viên (ủy viên) Hội đồng</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2ABE3EA4"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F75F1C4" w14:textId="77777777" w:rsidR="00684914" w:rsidRPr="00696797" w:rsidRDefault="00684914" w:rsidP="0018539E">
            <w:pPr>
              <w:spacing w:before="120" w:after="120" w:line="264" w:lineRule="auto"/>
              <w:jc w:val="center"/>
              <w:rPr>
                <w:sz w:val="26"/>
                <w:szCs w:val="26"/>
              </w:rPr>
            </w:pPr>
            <w:r w:rsidRPr="00696797">
              <w:rPr>
                <w:sz w:val="26"/>
                <w:szCs w:val="26"/>
              </w:rPr>
              <w:t>700</w:t>
            </w:r>
          </w:p>
        </w:tc>
      </w:tr>
      <w:tr w:rsidR="00684914" w:rsidRPr="00A60C5F" w14:paraId="7AED3A4B"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17EE914B"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3648B03B" w14:textId="77777777" w:rsidR="00684914" w:rsidRPr="00696797" w:rsidRDefault="00684914" w:rsidP="00F86C2C">
            <w:pPr>
              <w:spacing w:before="120" w:after="120" w:line="264" w:lineRule="auto"/>
              <w:ind w:left="60" w:right="110"/>
              <w:jc w:val="both"/>
              <w:rPr>
                <w:sz w:val="26"/>
                <w:szCs w:val="26"/>
              </w:rPr>
            </w:pPr>
            <w:r w:rsidRPr="00696797">
              <w:rPr>
                <w:sz w:val="26"/>
                <w:szCs w:val="26"/>
              </w:rPr>
              <w:t>Nhận xét đánh giá của Chủ tịch Hội đồng, chuyên gia phản biện</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1D9D93F0"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4141231F" w14:textId="77777777" w:rsidR="00684914" w:rsidRPr="00696797" w:rsidRDefault="00684914" w:rsidP="0018539E">
            <w:pPr>
              <w:spacing w:before="120" w:after="120" w:line="264" w:lineRule="auto"/>
              <w:jc w:val="center"/>
              <w:rPr>
                <w:sz w:val="26"/>
                <w:szCs w:val="26"/>
              </w:rPr>
            </w:pPr>
            <w:r w:rsidRPr="00696797">
              <w:rPr>
                <w:sz w:val="26"/>
                <w:szCs w:val="26"/>
              </w:rPr>
              <w:t>1.000</w:t>
            </w:r>
          </w:p>
        </w:tc>
      </w:tr>
      <w:tr w:rsidR="00684914" w:rsidRPr="00A60C5F" w14:paraId="099EB002"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79E24DDF" w14:textId="77777777" w:rsidR="00684914" w:rsidRPr="00696797" w:rsidRDefault="00684914" w:rsidP="0018539E">
            <w:pPr>
              <w:spacing w:before="120" w:after="120" w:line="264" w:lineRule="auto"/>
              <w:jc w:val="center"/>
              <w:rPr>
                <w:sz w:val="26"/>
                <w:szCs w:val="26"/>
              </w:rPr>
            </w:pPr>
            <w:r w:rsidRPr="00696797">
              <w:rPr>
                <w:sz w:val="26"/>
                <w:szCs w:val="26"/>
              </w:rPr>
              <w:t>c</w:t>
            </w: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79D26350" w14:textId="77777777" w:rsidR="00684914" w:rsidRPr="00696797" w:rsidRDefault="00684914" w:rsidP="00F86C2C">
            <w:pPr>
              <w:spacing w:before="120" w:after="120" w:line="264" w:lineRule="auto"/>
              <w:ind w:left="60" w:right="110"/>
              <w:jc w:val="both"/>
              <w:rPr>
                <w:sz w:val="26"/>
                <w:szCs w:val="26"/>
              </w:rPr>
            </w:pPr>
            <w:r w:rsidRPr="00696797">
              <w:rPr>
                <w:sz w:val="26"/>
                <w:szCs w:val="26"/>
              </w:rPr>
              <w:t>Chi thù lao xây dựng yêu cầu đặt hàng đối với các nhiệm vụ đề xuất thực hiện</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1738E548" w14:textId="77777777" w:rsidR="00684914" w:rsidRPr="00696797" w:rsidRDefault="00684914" w:rsidP="0018539E">
            <w:pPr>
              <w:spacing w:before="120" w:after="120" w:line="264" w:lineRule="auto"/>
              <w:jc w:val="center"/>
              <w:rPr>
                <w:sz w:val="26"/>
                <w:szCs w:val="26"/>
              </w:rPr>
            </w:pPr>
            <w:r w:rsidRPr="00696797">
              <w:rPr>
                <w:sz w:val="26"/>
                <w:szCs w:val="26"/>
              </w:rPr>
              <w:t>Nhiệm vụ</w:t>
            </w: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7CC0C050" w14:textId="77777777" w:rsidR="00684914" w:rsidRPr="00696797" w:rsidRDefault="00684914" w:rsidP="0018539E">
            <w:pPr>
              <w:spacing w:before="120" w:after="120" w:line="264" w:lineRule="auto"/>
              <w:jc w:val="center"/>
              <w:rPr>
                <w:sz w:val="26"/>
                <w:szCs w:val="26"/>
              </w:rPr>
            </w:pPr>
          </w:p>
        </w:tc>
      </w:tr>
      <w:tr w:rsidR="00684914" w:rsidRPr="00A60C5F" w14:paraId="3F148942"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27D2E26B"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044E45B" w14:textId="77777777" w:rsidR="00684914" w:rsidRPr="00696797" w:rsidRDefault="00684914" w:rsidP="00F86C2C">
            <w:pPr>
              <w:spacing w:before="120" w:after="120" w:line="264" w:lineRule="auto"/>
              <w:ind w:left="60" w:right="110"/>
              <w:jc w:val="both"/>
              <w:rPr>
                <w:sz w:val="26"/>
                <w:szCs w:val="26"/>
              </w:rPr>
            </w:pPr>
            <w:r w:rsidRPr="00696797">
              <w:rPr>
                <w:sz w:val="26"/>
                <w:szCs w:val="26"/>
              </w:rPr>
              <w:t>Chủ tịch Hội đồng</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4DF96DD2"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74F6E74E" w14:textId="77777777" w:rsidR="00684914" w:rsidRPr="00696797" w:rsidRDefault="00684914" w:rsidP="0018539E">
            <w:pPr>
              <w:spacing w:before="120" w:after="120" w:line="264" w:lineRule="auto"/>
              <w:jc w:val="center"/>
              <w:rPr>
                <w:sz w:val="26"/>
                <w:szCs w:val="26"/>
              </w:rPr>
            </w:pPr>
            <w:r w:rsidRPr="00696797">
              <w:rPr>
                <w:sz w:val="26"/>
                <w:szCs w:val="26"/>
              </w:rPr>
              <w:t>700</w:t>
            </w:r>
          </w:p>
        </w:tc>
      </w:tr>
      <w:tr w:rsidR="00684914" w:rsidRPr="00A60C5F" w14:paraId="2C9E5DF6"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11E26E70"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36B380C6" w14:textId="77777777" w:rsidR="00684914" w:rsidRPr="00696797" w:rsidRDefault="00684914" w:rsidP="00F86C2C">
            <w:pPr>
              <w:spacing w:before="120" w:after="120" w:line="264" w:lineRule="auto"/>
              <w:ind w:left="60" w:right="110"/>
              <w:jc w:val="both"/>
              <w:rPr>
                <w:sz w:val="26"/>
                <w:szCs w:val="26"/>
              </w:rPr>
            </w:pPr>
            <w:r w:rsidRPr="00696797">
              <w:rPr>
                <w:sz w:val="26"/>
                <w:szCs w:val="26"/>
              </w:rPr>
              <w:t>Phó chủ tịch Hội đồng; thành viên (ủy viên) Hội đồng</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1F600DB7"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42FADA88" w14:textId="77777777" w:rsidR="00684914" w:rsidRPr="00696797" w:rsidRDefault="00684914" w:rsidP="0018539E">
            <w:pPr>
              <w:spacing w:before="120" w:after="120" w:line="264" w:lineRule="auto"/>
              <w:jc w:val="center"/>
              <w:rPr>
                <w:sz w:val="26"/>
                <w:szCs w:val="26"/>
              </w:rPr>
            </w:pPr>
            <w:r w:rsidRPr="00696797">
              <w:rPr>
                <w:sz w:val="26"/>
                <w:szCs w:val="26"/>
              </w:rPr>
              <w:t>500</w:t>
            </w:r>
          </w:p>
        </w:tc>
      </w:tr>
      <w:tr w:rsidR="00684914" w:rsidRPr="00A60C5F" w14:paraId="12960B6B"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28775F1" w14:textId="77777777" w:rsidR="00684914" w:rsidRPr="00696797" w:rsidRDefault="00684914" w:rsidP="0018539E">
            <w:pPr>
              <w:spacing w:before="120" w:after="120" w:line="264" w:lineRule="auto"/>
              <w:jc w:val="center"/>
              <w:rPr>
                <w:sz w:val="26"/>
                <w:szCs w:val="26"/>
              </w:rPr>
            </w:pPr>
            <w:r w:rsidRPr="00696797">
              <w:rPr>
                <w:b/>
                <w:bCs/>
                <w:sz w:val="26"/>
                <w:szCs w:val="26"/>
              </w:rPr>
              <w:t>2</w:t>
            </w: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31C474A5" w14:textId="77777777" w:rsidR="00684914" w:rsidRPr="00696797" w:rsidRDefault="00684914" w:rsidP="00F86C2C">
            <w:pPr>
              <w:spacing w:before="120" w:after="120" w:line="264" w:lineRule="auto"/>
              <w:ind w:left="60" w:right="110"/>
              <w:jc w:val="both"/>
              <w:rPr>
                <w:sz w:val="26"/>
                <w:szCs w:val="26"/>
              </w:rPr>
            </w:pPr>
            <w:r w:rsidRPr="00696797">
              <w:rPr>
                <w:b/>
                <w:bCs/>
                <w:sz w:val="26"/>
                <w:szCs w:val="26"/>
              </w:rPr>
              <w:t>Chi Hội đồng tư vấn điều chỉnh hợp đồng giao nhiệm vụ khoa học, công nghệ và đổi mới sáng tạo; chấm dứt hợp đồng trong quá trình thực hiện nhiệm vụ đổi mới sáng tạo</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8BBAC77"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32D438DC" w14:textId="77777777" w:rsidR="00684914" w:rsidRPr="00696797" w:rsidRDefault="00684914" w:rsidP="0018539E">
            <w:pPr>
              <w:spacing w:before="120" w:after="120" w:line="264" w:lineRule="auto"/>
              <w:jc w:val="center"/>
              <w:rPr>
                <w:sz w:val="26"/>
                <w:szCs w:val="26"/>
              </w:rPr>
            </w:pPr>
          </w:p>
        </w:tc>
      </w:tr>
      <w:tr w:rsidR="00684914" w:rsidRPr="00A60C5F" w14:paraId="34CDF96D"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2140C3E4" w14:textId="77777777" w:rsidR="00684914" w:rsidRPr="00696797" w:rsidRDefault="00684914" w:rsidP="0018539E">
            <w:pPr>
              <w:spacing w:before="120" w:after="120" w:line="264" w:lineRule="auto"/>
              <w:jc w:val="center"/>
              <w:rPr>
                <w:sz w:val="26"/>
                <w:szCs w:val="26"/>
              </w:rPr>
            </w:pPr>
            <w:r w:rsidRPr="00696797">
              <w:rPr>
                <w:sz w:val="26"/>
                <w:szCs w:val="26"/>
              </w:rPr>
              <w:t>a</w:t>
            </w: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4CA7C843" w14:textId="77777777" w:rsidR="00684914" w:rsidRPr="00696797" w:rsidRDefault="00684914" w:rsidP="00F86C2C">
            <w:pPr>
              <w:spacing w:before="120" w:after="120" w:line="264" w:lineRule="auto"/>
              <w:ind w:left="60" w:right="110"/>
              <w:jc w:val="both"/>
              <w:rPr>
                <w:sz w:val="26"/>
                <w:szCs w:val="26"/>
              </w:rPr>
            </w:pPr>
            <w:r w:rsidRPr="00696797">
              <w:rPr>
                <w:sz w:val="26"/>
                <w:szCs w:val="26"/>
              </w:rPr>
              <w:t>Chi họp Hội đồng</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BBA8249" w14:textId="77777777" w:rsidR="00684914" w:rsidRPr="00696797" w:rsidRDefault="00684914" w:rsidP="0018539E">
            <w:pPr>
              <w:spacing w:before="120" w:after="120" w:line="264" w:lineRule="auto"/>
              <w:jc w:val="center"/>
              <w:rPr>
                <w:sz w:val="26"/>
                <w:szCs w:val="26"/>
              </w:rPr>
            </w:pPr>
            <w:r w:rsidRPr="00696797">
              <w:rPr>
                <w:sz w:val="26"/>
                <w:szCs w:val="26"/>
              </w:rPr>
              <w:t>Hội đồng</w:t>
            </w: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1D252375" w14:textId="77777777" w:rsidR="00684914" w:rsidRPr="00696797" w:rsidRDefault="00684914" w:rsidP="0018539E">
            <w:pPr>
              <w:spacing w:before="120" w:after="120" w:line="264" w:lineRule="auto"/>
              <w:jc w:val="center"/>
              <w:rPr>
                <w:sz w:val="26"/>
                <w:szCs w:val="26"/>
              </w:rPr>
            </w:pPr>
          </w:p>
        </w:tc>
      </w:tr>
      <w:tr w:rsidR="00684914" w:rsidRPr="00A60C5F" w14:paraId="326AB555"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CE68DBB"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13D8358C" w14:textId="77777777" w:rsidR="00684914" w:rsidRPr="00696797" w:rsidRDefault="00684914" w:rsidP="00F86C2C">
            <w:pPr>
              <w:spacing w:before="120" w:after="120" w:line="264" w:lineRule="auto"/>
              <w:ind w:left="60" w:right="110"/>
              <w:jc w:val="both"/>
              <w:rPr>
                <w:sz w:val="26"/>
                <w:szCs w:val="26"/>
              </w:rPr>
            </w:pPr>
            <w:r w:rsidRPr="00696797">
              <w:rPr>
                <w:sz w:val="26"/>
                <w:szCs w:val="26"/>
              </w:rPr>
              <w:t>Chủ tịch Hội đồng</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88B03F0"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3823045A" w14:textId="77777777" w:rsidR="00684914" w:rsidRPr="00696797" w:rsidRDefault="00684914" w:rsidP="0018539E">
            <w:pPr>
              <w:spacing w:before="120" w:after="120" w:line="264" w:lineRule="auto"/>
              <w:jc w:val="center"/>
              <w:rPr>
                <w:sz w:val="26"/>
                <w:szCs w:val="26"/>
              </w:rPr>
            </w:pPr>
            <w:r w:rsidRPr="00696797">
              <w:rPr>
                <w:sz w:val="26"/>
                <w:szCs w:val="26"/>
              </w:rPr>
              <w:t>1.500</w:t>
            </w:r>
          </w:p>
        </w:tc>
      </w:tr>
      <w:tr w:rsidR="00684914" w:rsidRPr="00A60C5F" w14:paraId="60081B50"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42BB400A"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2494A862" w14:textId="77777777" w:rsidR="00684914" w:rsidRPr="00696797" w:rsidRDefault="00684914" w:rsidP="00F86C2C">
            <w:pPr>
              <w:spacing w:before="120" w:after="120" w:line="264" w:lineRule="auto"/>
              <w:ind w:left="60" w:right="110"/>
              <w:jc w:val="both"/>
              <w:rPr>
                <w:sz w:val="26"/>
                <w:szCs w:val="26"/>
              </w:rPr>
            </w:pPr>
            <w:r w:rsidRPr="00696797">
              <w:rPr>
                <w:sz w:val="26"/>
                <w:szCs w:val="26"/>
              </w:rPr>
              <w:t>Phó chủ tịch Hội đồng; thành viên Hội đồng</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760C8EE4"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AD2B21E" w14:textId="77777777" w:rsidR="00684914" w:rsidRPr="00696797" w:rsidRDefault="00684914" w:rsidP="0018539E">
            <w:pPr>
              <w:spacing w:before="120" w:after="120" w:line="264" w:lineRule="auto"/>
              <w:jc w:val="center"/>
              <w:rPr>
                <w:sz w:val="26"/>
                <w:szCs w:val="26"/>
              </w:rPr>
            </w:pPr>
            <w:r w:rsidRPr="00696797">
              <w:rPr>
                <w:sz w:val="26"/>
                <w:szCs w:val="26"/>
              </w:rPr>
              <w:t>1.000</w:t>
            </w:r>
          </w:p>
        </w:tc>
      </w:tr>
      <w:tr w:rsidR="00684914" w:rsidRPr="00A60C5F" w14:paraId="4345034A"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320CB3EA"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2C5EE868" w14:textId="77777777" w:rsidR="00684914" w:rsidRPr="00696797" w:rsidRDefault="00684914" w:rsidP="00F86C2C">
            <w:pPr>
              <w:spacing w:before="120" w:after="120" w:line="264" w:lineRule="auto"/>
              <w:ind w:left="60" w:right="110"/>
              <w:jc w:val="both"/>
              <w:rPr>
                <w:sz w:val="26"/>
                <w:szCs w:val="26"/>
              </w:rPr>
            </w:pPr>
            <w:r w:rsidRPr="00696797">
              <w:rPr>
                <w:sz w:val="26"/>
                <w:szCs w:val="26"/>
              </w:rPr>
              <w:t>Thư ký khoa học</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006B3CC"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2C2C8708" w14:textId="77777777" w:rsidR="00684914" w:rsidRPr="00696797" w:rsidRDefault="00684914" w:rsidP="0018539E">
            <w:pPr>
              <w:spacing w:before="120" w:after="120" w:line="264" w:lineRule="auto"/>
              <w:jc w:val="center"/>
              <w:rPr>
                <w:sz w:val="26"/>
                <w:szCs w:val="26"/>
              </w:rPr>
            </w:pPr>
            <w:r w:rsidRPr="00696797">
              <w:rPr>
                <w:sz w:val="26"/>
                <w:szCs w:val="26"/>
              </w:rPr>
              <w:t>300</w:t>
            </w:r>
          </w:p>
        </w:tc>
      </w:tr>
      <w:tr w:rsidR="00684914" w:rsidRPr="00A60C5F" w14:paraId="4F87F25F"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499C0F5D"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030648B1" w14:textId="77777777" w:rsidR="00684914" w:rsidRPr="00696797" w:rsidRDefault="00684914" w:rsidP="00F86C2C">
            <w:pPr>
              <w:spacing w:before="120" w:after="120" w:line="264" w:lineRule="auto"/>
              <w:ind w:left="60" w:right="110"/>
              <w:jc w:val="both"/>
              <w:rPr>
                <w:sz w:val="26"/>
                <w:szCs w:val="26"/>
              </w:rPr>
            </w:pPr>
            <w:r w:rsidRPr="00696797">
              <w:rPr>
                <w:sz w:val="26"/>
                <w:szCs w:val="26"/>
              </w:rPr>
              <w:t>Thư ký hành chính</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231F62FA"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0624DEE7" w14:textId="77777777" w:rsidR="00684914" w:rsidRPr="00696797" w:rsidRDefault="00684914" w:rsidP="0018539E">
            <w:pPr>
              <w:spacing w:before="120" w:after="120" w:line="264" w:lineRule="auto"/>
              <w:jc w:val="center"/>
              <w:rPr>
                <w:sz w:val="26"/>
                <w:szCs w:val="26"/>
              </w:rPr>
            </w:pPr>
            <w:r w:rsidRPr="00696797">
              <w:rPr>
                <w:sz w:val="26"/>
                <w:szCs w:val="26"/>
              </w:rPr>
              <w:t>300</w:t>
            </w:r>
          </w:p>
        </w:tc>
      </w:tr>
      <w:tr w:rsidR="00684914" w:rsidRPr="00A60C5F" w14:paraId="30CCA6C7" w14:textId="77777777" w:rsidTr="00463CBA">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4" w:space="0" w:color="auto"/>
              <w:right w:val="single" w:sz="8" w:space="0" w:color="auto"/>
              <w:tl2br w:val="nil"/>
              <w:tr2bl w:val="nil"/>
            </w:tcBorders>
            <w:shd w:val="clear" w:color="auto" w:fill="auto"/>
            <w:tcMar>
              <w:top w:w="21" w:type="dxa"/>
              <w:left w:w="21" w:type="dxa"/>
              <w:bottom w:w="21" w:type="dxa"/>
              <w:right w:w="21" w:type="dxa"/>
            </w:tcMar>
            <w:vAlign w:val="center"/>
          </w:tcPr>
          <w:p w14:paraId="2D6A1808"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4" w:space="0" w:color="auto"/>
              <w:right w:val="single" w:sz="8" w:space="0" w:color="auto"/>
              <w:tl2br w:val="nil"/>
              <w:tr2bl w:val="nil"/>
            </w:tcBorders>
            <w:shd w:val="clear" w:color="auto" w:fill="auto"/>
            <w:tcMar>
              <w:top w:w="21" w:type="dxa"/>
              <w:left w:w="21" w:type="dxa"/>
              <w:bottom w:w="21" w:type="dxa"/>
              <w:right w:w="21" w:type="dxa"/>
            </w:tcMar>
            <w:vAlign w:val="center"/>
          </w:tcPr>
          <w:p w14:paraId="5A28A580" w14:textId="77777777" w:rsidR="00684914" w:rsidRPr="00696797" w:rsidRDefault="00684914" w:rsidP="00F86C2C">
            <w:pPr>
              <w:spacing w:before="120" w:after="120" w:line="264" w:lineRule="auto"/>
              <w:ind w:left="60" w:right="110"/>
              <w:jc w:val="both"/>
              <w:rPr>
                <w:sz w:val="26"/>
                <w:szCs w:val="26"/>
              </w:rPr>
            </w:pPr>
            <w:r w:rsidRPr="00696797">
              <w:rPr>
                <w:sz w:val="26"/>
                <w:szCs w:val="26"/>
              </w:rPr>
              <w:t>Đại biểu được mời tham dự</w:t>
            </w:r>
          </w:p>
        </w:tc>
        <w:tc>
          <w:tcPr>
            <w:tcW w:w="804" w:type="pct"/>
            <w:tcBorders>
              <w:top w:val="nil"/>
              <w:left w:val="nil"/>
              <w:bottom w:val="single" w:sz="4" w:space="0" w:color="auto"/>
              <w:right w:val="single" w:sz="8" w:space="0" w:color="auto"/>
              <w:tl2br w:val="nil"/>
              <w:tr2bl w:val="nil"/>
            </w:tcBorders>
            <w:shd w:val="clear" w:color="auto" w:fill="auto"/>
            <w:tcMar>
              <w:top w:w="21" w:type="dxa"/>
              <w:left w:w="21" w:type="dxa"/>
              <w:bottom w:w="21" w:type="dxa"/>
              <w:right w:w="21" w:type="dxa"/>
            </w:tcMar>
            <w:vAlign w:val="center"/>
          </w:tcPr>
          <w:p w14:paraId="6461FAFC"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4" w:space="0" w:color="auto"/>
              <w:right w:val="single" w:sz="8" w:space="0" w:color="auto"/>
              <w:tl2br w:val="nil"/>
              <w:tr2bl w:val="nil"/>
            </w:tcBorders>
            <w:shd w:val="clear" w:color="auto" w:fill="auto"/>
            <w:tcMar>
              <w:top w:w="21" w:type="dxa"/>
              <w:left w:w="21" w:type="dxa"/>
              <w:bottom w:w="21" w:type="dxa"/>
              <w:right w:w="21" w:type="dxa"/>
            </w:tcMar>
            <w:vAlign w:val="center"/>
          </w:tcPr>
          <w:p w14:paraId="1DE68D6F" w14:textId="77777777" w:rsidR="00684914" w:rsidRPr="00696797" w:rsidRDefault="00684914" w:rsidP="0018539E">
            <w:pPr>
              <w:spacing w:before="120" w:after="120" w:line="264" w:lineRule="auto"/>
              <w:jc w:val="center"/>
              <w:rPr>
                <w:sz w:val="26"/>
                <w:szCs w:val="26"/>
              </w:rPr>
            </w:pPr>
            <w:r w:rsidRPr="00696797">
              <w:rPr>
                <w:sz w:val="26"/>
                <w:szCs w:val="26"/>
              </w:rPr>
              <w:t>200</w:t>
            </w:r>
          </w:p>
        </w:tc>
      </w:tr>
      <w:tr w:rsidR="00684914" w:rsidRPr="00A60C5F" w14:paraId="5FC456D9" w14:textId="77777777" w:rsidTr="00463CBA">
        <w:tblPrEx>
          <w:tblBorders>
            <w:top w:val="none" w:sz="0" w:space="0" w:color="auto"/>
            <w:bottom w:val="none" w:sz="0" w:space="0" w:color="auto"/>
            <w:insideH w:val="none" w:sz="0" w:space="0" w:color="auto"/>
            <w:insideV w:val="none" w:sz="0" w:space="0" w:color="auto"/>
          </w:tblBorders>
        </w:tblPrEx>
        <w:tc>
          <w:tcPr>
            <w:tcW w:w="6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21" w:type="dxa"/>
              <w:left w:w="21" w:type="dxa"/>
              <w:bottom w:w="21" w:type="dxa"/>
              <w:right w:w="21" w:type="dxa"/>
            </w:tcMar>
            <w:vAlign w:val="center"/>
          </w:tcPr>
          <w:p w14:paraId="3626F6C3" w14:textId="77777777" w:rsidR="00684914" w:rsidRPr="00696797" w:rsidRDefault="00684914" w:rsidP="0018539E">
            <w:pPr>
              <w:spacing w:before="120" w:after="120" w:line="264" w:lineRule="auto"/>
              <w:jc w:val="center"/>
              <w:rPr>
                <w:sz w:val="26"/>
                <w:szCs w:val="26"/>
              </w:rPr>
            </w:pPr>
            <w:r w:rsidRPr="00696797">
              <w:rPr>
                <w:sz w:val="26"/>
                <w:szCs w:val="26"/>
              </w:rPr>
              <w:t>b</w:t>
            </w:r>
          </w:p>
        </w:tc>
        <w:tc>
          <w:tcPr>
            <w:tcW w:w="24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21" w:type="dxa"/>
              <w:left w:w="21" w:type="dxa"/>
              <w:bottom w:w="21" w:type="dxa"/>
              <w:right w:w="21" w:type="dxa"/>
            </w:tcMar>
            <w:vAlign w:val="center"/>
          </w:tcPr>
          <w:p w14:paraId="0FD561D9" w14:textId="77777777" w:rsidR="00684914" w:rsidRPr="00696797" w:rsidRDefault="00684914" w:rsidP="00F86C2C">
            <w:pPr>
              <w:spacing w:before="120" w:after="120" w:line="264" w:lineRule="auto"/>
              <w:ind w:left="60" w:right="110"/>
              <w:jc w:val="both"/>
              <w:rPr>
                <w:sz w:val="26"/>
                <w:szCs w:val="26"/>
              </w:rPr>
            </w:pPr>
            <w:r w:rsidRPr="00696797">
              <w:rPr>
                <w:sz w:val="26"/>
                <w:szCs w:val="26"/>
              </w:rPr>
              <w:t>Chi nhận xét đánh giá</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21" w:type="dxa"/>
              <w:left w:w="21" w:type="dxa"/>
              <w:bottom w:w="21" w:type="dxa"/>
              <w:right w:w="21" w:type="dxa"/>
            </w:tcMar>
            <w:vAlign w:val="center"/>
          </w:tcPr>
          <w:p w14:paraId="08176E7E" w14:textId="77777777" w:rsidR="00684914" w:rsidRPr="00696797" w:rsidRDefault="00684914" w:rsidP="0018539E">
            <w:pPr>
              <w:spacing w:before="120" w:after="120" w:line="264" w:lineRule="auto"/>
              <w:jc w:val="center"/>
              <w:rPr>
                <w:sz w:val="26"/>
                <w:szCs w:val="26"/>
              </w:rPr>
            </w:pPr>
            <w:r w:rsidRPr="00696797">
              <w:rPr>
                <w:sz w:val="26"/>
                <w:szCs w:val="26"/>
              </w:rPr>
              <w:t>01 phiếu nhận xét</w:t>
            </w:r>
          </w:p>
        </w:tc>
        <w:tc>
          <w:tcPr>
            <w:tcW w:w="11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21" w:type="dxa"/>
              <w:left w:w="21" w:type="dxa"/>
              <w:bottom w:w="21" w:type="dxa"/>
              <w:right w:w="21" w:type="dxa"/>
            </w:tcMar>
            <w:vAlign w:val="center"/>
          </w:tcPr>
          <w:p w14:paraId="05F69525" w14:textId="77777777" w:rsidR="00684914" w:rsidRPr="00696797" w:rsidRDefault="00684914" w:rsidP="0018539E">
            <w:pPr>
              <w:spacing w:before="120" w:after="120" w:line="264" w:lineRule="auto"/>
              <w:jc w:val="center"/>
              <w:rPr>
                <w:sz w:val="26"/>
                <w:szCs w:val="26"/>
              </w:rPr>
            </w:pPr>
          </w:p>
        </w:tc>
      </w:tr>
      <w:tr w:rsidR="00684914" w:rsidRPr="00A60C5F" w14:paraId="60FDB5E2" w14:textId="77777777" w:rsidTr="00463CBA">
        <w:tblPrEx>
          <w:tblBorders>
            <w:top w:val="none" w:sz="0" w:space="0" w:color="auto"/>
            <w:bottom w:val="none" w:sz="0" w:space="0" w:color="auto"/>
            <w:insideH w:val="none" w:sz="0" w:space="0" w:color="auto"/>
            <w:insideV w:val="none" w:sz="0" w:space="0" w:color="auto"/>
          </w:tblBorders>
        </w:tblPrEx>
        <w:tc>
          <w:tcPr>
            <w:tcW w:w="644" w:type="pct"/>
            <w:tcBorders>
              <w:top w:val="single" w:sz="4" w:space="0" w:color="auto"/>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0A44BBB2" w14:textId="77777777" w:rsidR="00684914" w:rsidRPr="00696797" w:rsidRDefault="00684914" w:rsidP="0018539E">
            <w:pPr>
              <w:spacing w:before="120" w:after="120" w:line="264" w:lineRule="auto"/>
              <w:jc w:val="center"/>
              <w:rPr>
                <w:sz w:val="26"/>
                <w:szCs w:val="26"/>
              </w:rPr>
            </w:pPr>
          </w:p>
        </w:tc>
        <w:tc>
          <w:tcPr>
            <w:tcW w:w="2406" w:type="pct"/>
            <w:tcBorders>
              <w:top w:val="single" w:sz="4" w:space="0" w:color="auto"/>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09E14E9E" w14:textId="77777777" w:rsidR="00684914" w:rsidRPr="00696797" w:rsidRDefault="00684914" w:rsidP="00F86C2C">
            <w:pPr>
              <w:spacing w:before="120" w:after="120" w:line="264" w:lineRule="auto"/>
              <w:ind w:left="60" w:right="110"/>
              <w:jc w:val="both"/>
              <w:rPr>
                <w:sz w:val="26"/>
                <w:szCs w:val="26"/>
              </w:rPr>
            </w:pPr>
            <w:r w:rsidRPr="00696797">
              <w:rPr>
                <w:sz w:val="26"/>
                <w:szCs w:val="26"/>
              </w:rPr>
              <w:t>Nhận xét đánh giá của thành viên (ủy viên) Hội đồng</w:t>
            </w:r>
          </w:p>
        </w:tc>
        <w:tc>
          <w:tcPr>
            <w:tcW w:w="804" w:type="pct"/>
            <w:tcBorders>
              <w:top w:val="single" w:sz="4" w:space="0" w:color="auto"/>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2391CAA8" w14:textId="77777777" w:rsidR="00684914" w:rsidRPr="00696797" w:rsidRDefault="00684914" w:rsidP="0018539E">
            <w:pPr>
              <w:spacing w:before="120" w:after="120" w:line="264" w:lineRule="auto"/>
              <w:jc w:val="center"/>
              <w:rPr>
                <w:sz w:val="26"/>
                <w:szCs w:val="26"/>
              </w:rPr>
            </w:pPr>
          </w:p>
        </w:tc>
        <w:tc>
          <w:tcPr>
            <w:tcW w:w="1146" w:type="pct"/>
            <w:tcBorders>
              <w:top w:val="single" w:sz="4" w:space="0" w:color="auto"/>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2B185EE8" w14:textId="77777777" w:rsidR="00684914" w:rsidRPr="00696797" w:rsidRDefault="00684914" w:rsidP="0018539E">
            <w:pPr>
              <w:spacing w:before="120" w:after="120" w:line="264" w:lineRule="auto"/>
              <w:jc w:val="center"/>
              <w:rPr>
                <w:sz w:val="26"/>
                <w:szCs w:val="26"/>
              </w:rPr>
            </w:pPr>
            <w:r w:rsidRPr="00696797">
              <w:rPr>
                <w:sz w:val="26"/>
                <w:szCs w:val="26"/>
              </w:rPr>
              <w:t>500</w:t>
            </w:r>
          </w:p>
        </w:tc>
      </w:tr>
      <w:tr w:rsidR="00684914" w:rsidRPr="00A60C5F" w14:paraId="76A588A6"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00378382"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CBCD4FC" w14:textId="77777777" w:rsidR="00684914" w:rsidRPr="00696797" w:rsidRDefault="00684914" w:rsidP="00F86C2C">
            <w:pPr>
              <w:spacing w:before="120" w:after="120" w:line="264" w:lineRule="auto"/>
              <w:ind w:left="60" w:right="110"/>
              <w:jc w:val="both"/>
              <w:rPr>
                <w:sz w:val="26"/>
                <w:szCs w:val="26"/>
              </w:rPr>
            </w:pPr>
            <w:r w:rsidRPr="00696797">
              <w:rPr>
                <w:sz w:val="26"/>
                <w:szCs w:val="26"/>
              </w:rPr>
              <w:t>Nhận xét đánh giá của Chủ tịch Hội đồng, chuyên gia phản biện</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2343C1AF"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796A1B48" w14:textId="77777777" w:rsidR="00684914" w:rsidRPr="00696797" w:rsidRDefault="00684914" w:rsidP="0018539E">
            <w:pPr>
              <w:spacing w:before="120" w:after="120" w:line="264" w:lineRule="auto"/>
              <w:jc w:val="center"/>
              <w:rPr>
                <w:sz w:val="26"/>
                <w:szCs w:val="26"/>
              </w:rPr>
            </w:pPr>
            <w:r w:rsidRPr="00696797">
              <w:rPr>
                <w:sz w:val="26"/>
                <w:szCs w:val="26"/>
              </w:rPr>
              <w:t>700</w:t>
            </w:r>
          </w:p>
        </w:tc>
      </w:tr>
      <w:tr w:rsidR="00684914" w:rsidRPr="00A60C5F" w14:paraId="5C0A873E"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47782CEF" w14:textId="77777777" w:rsidR="00684914" w:rsidRPr="00696797" w:rsidRDefault="00684914" w:rsidP="0018539E">
            <w:pPr>
              <w:spacing w:before="120" w:after="120" w:line="264" w:lineRule="auto"/>
              <w:jc w:val="center"/>
              <w:rPr>
                <w:sz w:val="26"/>
                <w:szCs w:val="26"/>
              </w:rPr>
            </w:pPr>
            <w:r w:rsidRPr="00696797">
              <w:rPr>
                <w:b/>
                <w:bCs/>
                <w:sz w:val="26"/>
                <w:szCs w:val="26"/>
              </w:rPr>
              <w:t>3</w:t>
            </w: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860A490" w14:textId="77777777" w:rsidR="00684914" w:rsidRPr="00696797" w:rsidRDefault="00684914" w:rsidP="00F86C2C">
            <w:pPr>
              <w:spacing w:before="120" w:after="120" w:line="264" w:lineRule="auto"/>
              <w:ind w:left="60" w:right="110"/>
              <w:jc w:val="both"/>
              <w:rPr>
                <w:sz w:val="26"/>
                <w:szCs w:val="26"/>
              </w:rPr>
            </w:pPr>
            <w:r w:rsidRPr="00696797">
              <w:rPr>
                <w:b/>
                <w:bCs/>
                <w:sz w:val="26"/>
                <w:szCs w:val="26"/>
              </w:rPr>
              <w:t>Chi Hội đồng tư vấn đánh giá khả năng ứng dụng kết quả nhiệm vụ khoa học, công nghệ và đổi mới sáng tạo</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E961D0D"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3FE5556A" w14:textId="77777777" w:rsidR="00684914" w:rsidRPr="00696797" w:rsidRDefault="00684914" w:rsidP="0018539E">
            <w:pPr>
              <w:spacing w:before="120" w:after="120" w:line="264" w:lineRule="auto"/>
              <w:jc w:val="center"/>
              <w:rPr>
                <w:sz w:val="26"/>
                <w:szCs w:val="26"/>
              </w:rPr>
            </w:pPr>
          </w:p>
        </w:tc>
      </w:tr>
      <w:tr w:rsidR="00684914" w:rsidRPr="00A60C5F" w14:paraId="7C66C2F1"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1AF33728" w14:textId="77777777" w:rsidR="00684914" w:rsidRPr="00696797" w:rsidRDefault="00684914" w:rsidP="0018539E">
            <w:pPr>
              <w:spacing w:before="120" w:after="120" w:line="264" w:lineRule="auto"/>
              <w:jc w:val="center"/>
              <w:rPr>
                <w:sz w:val="26"/>
                <w:szCs w:val="26"/>
              </w:rPr>
            </w:pPr>
            <w:r w:rsidRPr="00696797">
              <w:rPr>
                <w:sz w:val="26"/>
                <w:szCs w:val="26"/>
              </w:rPr>
              <w:t>a</w:t>
            </w: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7F97C701" w14:textId="77777777" w:rsidR="00684914" w:rsidRPr="00696797" w:rsidRDefault="00684914" w:rsidP="00F86C2C">
            <w:pPr>
              <w:spacing w:before="120" w:after="120" w:line="264" w:lineRule="auto"/>
              <w:ind w:left="60" w:right="110"/>
              <w:jc w:val="both"/>
              <w:rPr>
                <w:sz w:val="26"/>
                <w:szCs w:val="26"/>
              </w:rPr>
            </w:pPr>
            <w:r w:rsidRPr="00696797">
              <w:rPr>
                <w:sz w:val="26"/>
                <w:szCs w:val="26"/>
              </w:rPr>
              <w:t>Chi họp Hội đồng</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7CBA6A85" w14:textId="77777777" w:rsidR="00684914" w:rsidRPr="00696797" w:rsidRDefault="00684914" w:rsidP="0018539E">
            <w:pPr>
              <w:spacing w:before="120" w:after="120" w:line="264" w:lineRule="auto"/>
              <w:jc w:val="center"/>
              <w:rPr>
                <w:sz w:val="26"/>
                <w:szCs w:val="26"/>
              </w:rPr>
            </w:pPr>
            <w:r w:rsidRPr="00696797">
              <w:rPr>
                <w:sz w:val="26"/>
                <w:szCs w:val="26"/>
              </w:rPr>
              <w:t>01 Nhiệm vụ có 01 hoặc nhiều đơn vị có nhu cầu ứng dụng kết quả</w:t>
            </w: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16956595" w14:textId="77777777" w:rsidR="00684914" w:rsidRPr="00696797" w:rsidRDefault="00684914" w:rsidP="0018539E">
            <w:pPr>
              <w:spacing w:before="120" w:after="120" w:line="264" w:lineRule="auto"/>
              <w:jc w:val="center"/>
              <w:rPr>
                <w:sz w:val="26"/>
                <w:szCs w:val="26"/>
              </w:rPr>
            </w:pPr>
          </w:p>
        </w:tc>
      </w:tr>
      <w:tr w:rsidR="00684914" w:rsidRPr="00A60C5F" w14:paraId="5380C197"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0D519223"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0D60027D" w14:textId="77777777" w:rsidR="00684914" w:rsidRPr="00696797" w:rsidRDefault="00684914" w:rsidP="00F86C2C">
            <w:pPr>
              <w:spacing w:before="120" w:after="120" w:line="264" w:lineRule="auto"/>
              <w:ind w:left="60" w:right="110"/>
              <w:jc w:val="both"/>
              <w:rPr>
                <w:sz w:val="26"/>
                <w:szCs w:val="26"/>
              </w:rPr>
            </w:pPr>
            <w:r w:rsidRPr="00696797">
              <w:rPr>
                <w:sz w:val="26"/>
                <w:szCs w:val="26"/>
              </w:rPr>
              <w:t>Chủ tịch Hội đồng</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374C2A9C"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000B7B2B" w14:textId="77777777" w:rsidR="00684914" w:rsidRPr="00696797" w:rsidRDefault="00684914" w:rsidP="0018539E">
            <w:pPr>
              <w:spacing w:before="120" w:after="120" w:line="264" w:lineRule="auto"/>
              <w:jc w:val="center"/>
              <w:rPr>
                <w:sz w:val="26"/>
                <w:szCs w:val="26"/>
              </w:rPr>
            </w:pPr>
            <w:r w:rsidRPr="00696797">
              <w:rPr>
                <w:sz w:val="26"/>
                <w:szCs w:val="26"/>
              </w:rPr>
              <w:t>1.800</w:t>
            </w:r>
          </w:p>
        </w:tc>
      </w:tr>
      <w:tr w:rsidR="00684914" w:rsidRPr="00A60C5F" w14:paraId="46F72350"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0D8F94B4"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8486C25" w14:textId="77777777" w:rsidR="00684914" w:rsidRPr="00696797" w:rsidRDefault="00684914" w:rsidP="00F86C2C">
            <w:pPr>
              <w:spacing w:before="120" w:after="120" w:line="264" w:lineRule="auto"/>
              <w:ind w:left="60" w:right="110"/>
              <w:jc w:val="both"/>
              <w:rPr>
                <w:sz w:val="26"/>
                <w:szCs w:val="26"/>
              </w:rPr>
            </w:pPr>
            <w:r w:rsidRPr="00696797">
              <w:rPr>
                <w:sz w:val="26"/>
                <w:szCs w:val="26"/>
              </w:rPr>
              <w:t>Phó chủ tịch Hội đồng; thành viên Hội đồng</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D69AE77"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0A570212" w14:textId="77777777" w:rsidR="00684914" w:rsidRPr="00696797" w:rsidRDefault="00684914" w:rsidP="0018539E">
            <w:pPr>
              <w:spacing w:before="120" w:after="120" w:line="264" w:lineRule="auto"/>
              <w:jc w:val="center"/>
              <w:rPr>
                <w:sz w:val="26"/>
                <w:szCs w:val="26"/>
              </w:rPr>
            </w:pPr>
            <w:r w:rsidRPr="00696797">
              <w:rPr>
                <w:sz w:val="26"/>
                <w:szCs w:val="26"/>
              </w:rPr>
              <w:t>1.500</w:t>
            </w:r>
          </w:p>
        </w:tc>
      </w:tr>
      <w:tr w:rsidR="00684914" w:rsidRPr="00A60C5F" w14:paraId="43F308AB"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12128570"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B95D734" w14:textId="77777777" w:rsidR="00684914" w:rsidRPr="00696797" w:rsidRDefault="00684914" w:rsidP="00F86C2C">
            <w:pPr>
              <w:spacing w:before="120" w:after="120" w:line="264" w:lineRule="auto"/>
              <w:ind w:left="60" w:right="110"/>
              <w:jc w:val="both"/>
              <w:rPr>
                <w:sz w:val="26"/>
                <w:szCs w:val="26"/>
              </w:rPr>
            </w:pPr>
            <w:r w:rsidRPr="00696797">
              <w:rPr>
                <w:sz w:val="26"/>
                <w:szCs w:val="26"/>
              </w:rPr>
              <w:t>Thư ký khoa học</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E6DC499"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041C1234" w14:textId="77777777" w:rsidR="00684914" w:rsidRPr="00696797" w:rsidRDefault="00684914" w:rsidP="0018539E">
            <w:pPr>
              <w:spacing w:before="120" w:after="120" w:line="264" w:lineRule="auto"/>
              <w:jc w:val="center"/>
              <w:rPr>
                <w:sz w:val="26"/>
                <w:szCs w:val="26"/>
              </w:rPr>
            </w:pPr>
            <w:r w:rsidRPr="00696797">
              <w:rPr>
                <w:sz w:val="26"/>
                <w:szCs w:val="26"/>
              </w:rPr>
              <w:t>300</w:t>
            </w:r>
          </w:p>
        </w:tc>
      </w:tr>
      <w:tr w:rsidR="00684914" w:rsidRPr="00A60C5F" w14:paraId="6EFCC7A7"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DA04F4D"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A0F2C3D" w14:textId="77777777" w:rsidR="00684914" w:rsidRPr="00696797" w:rsidRDefault="00684914" w:rsidP="00F86C2C">
            <w:pPr>
              <w:spacing w:before="120" w:after="120" w:line="264" w:lineRule="auto"/>
              <w:ind w:left="60" w:right="110"/>
              <w:jc w:val="both"/>
              <w:rPr>
                <w:sz w:val="26"/>
                <w:szCs w:val="26"/>
              </w:rPr>
            </w:pPr>
            <w:r w:rsidRPr="00696797">
              <w:rPr>
                <w:sz w:val="26"/>
                <w:szCs w:val="26"/>
              </w:rPr>
              <w:t>Thư ký hành chính</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321163F"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075F52EB" w14:textId="77777777" w:rsidR="00684914" w:rsidRPr="00696797" w:rsidRDefault="00684914" w:rsidP="0018539E">
            <w:pPr>
              <w:spacing w:before="120" w:after="120" w:line="264" w:lineRule="auto"/>
              <w:jc w:val="center"/>
              <w:rPr>
                <w:sz w:val="26"/>
                <w:szCs w:val="26"/>
              </w:rPr>
            </w:pPr>
            <w:r w:rsidRPr="00696797">
              <w:rPr>
                <w:sz w:val="26"/>
                <w:szCs w:val="26"/>
              </w:rPr>
              <w:t>300</w:t>
            </w:r>
          </w:p>
        </w:tc>
      </w:tr>
      <w:tr w:rsidR="00684914" w:rsidRPr="00A60C5F" w14:paraId="24731183"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72843A0A"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5B392E2" w14:textId="77777777" w:rsidR="00684914" w:rsidRPr="00696797" w:rsidRDefault="00684914" w:rsidP="00F86C2C">
            <w:pPr>
              <w:spacing w:before="120" w:after="120" w:line="264" w:lineRule="auto"/>
              <w:ind w:left="60" w:right="110"/>
              <w:jc w:val="both"/>
              <w:rPr>
                <w:sz w:val="26"/>
                <w:szCs w:val="26"/>
              </w:rPr>
            </w:pPr>
            <w:r w:rsidRPr="00696797">
              <w:rPr>
                <w:sz w:val="26"/>
                <w:szCs w:val="26"/>
              </w:rPr>
              <w:t>Đại biểu được mời tham dự</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516CEAD"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3703B63D" w14:textId="77777777" w:rsidR="00684914" w:rsidRPr="00696797" w:rsidRDefault="00684914" w:rsidP="0018539E">
            <w:pPr>
              <w:spacing w:before="120" w:after="120" w:line="264" w:lineRule="auto"/>
              <w:jc w:val="center"/>
              <w:rPr>
                <w:sz w:val="26"/>
                <w:szCs w:val="26"/>
              </w:rPr>
            </w:pPr>
            <w:r w:rsidRPr="00696797">
              <w:rPr>
                <w:sz w:val="26"/>
                <w:szCs w:val="26"/>
              </w:rPr>
              <w:t>200</w:t>
            </w:r>
          </w:p>
        </w:tc>
      </w:tr>
      <w:tr w:rsidR="00684914" w:rsidRPr="00A60C5F" w14:paraId="02D6B3FF"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D738FC6" w14:textId="77777777" w:rsidR="00684914" w:rsidRPr="00696797" w:rsidRDefault="00684914" w:rsidP="0018539E">
            <w:pPr>
              <w:spacing w:before="120" w:after="120" w:line="264" w:lineRule="auto"/>
              <w:jc w:val="center"/>
              <w:rPr>
                <w:sz w:val="26"/>
                <w:szCs w:val="26"/>
              </w:rPr>
            </w:pPr>
            <w:r w:rsidRPr="00696797">
              <w:rPr>
                <w:sz w:val="26"/>
                <w:szCs w:val="26"/>
              </w:rPr>
              <w:t>b</w:t>
            </w: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055FA02F" w14:textId="77777777" w:rsidR="00684914" w:rsidRPr="00696797" w:rsidRDefault="00684914" w:rsidP="00F86C2C">
            <w:pPr>
              <w:spacing w:before="120" w:after="120" w:line="264" w:lineRule="auto"/>
              <w:ind w:left="60" w:right="110"/>
              <w:jc w:val="both"/>
              <w:rPr>
                <w:sz w:val="26"/>
                <w:szCs w:val="26"/>
              </w:rPr>
            </w:pPr>
            <w:r w:rsidRPr="00696797">
              <w:rPr>
                <w:sz w:val="26"/>
                <w:szCs w:val="26"/>
              </w:rPr>
              <w:t>Chi nhận xét đánh giá</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4090EB4A" w14:textId="77777777" w:rsidR="00684914" w:rsidRPr="00696797" w:rsidRDefault="00684914" w:rsidP="0018539E">
            <w:pPr>
              <w:spacing w:before="120" w:after="120" w:line="264" w:lineRule="auto"/>
              <w:jc w:val="center"/>
              <w:rPr>
                <w:sz w:val="26"/>
                <w:szCs w:val="26"/>
              </w:rPr>
            </w:pPr>
            <w:r w:rsidRPr="00696797">
              <w:rPr>
                <w:sz w:val="26"/>
                <w:szCs w:val="26"/>
              </w:rPr>
              <w:t>01 phiếu nhận xét</w:t>
            </w: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129F42EA" w14:textId="77777777" w:rsidR="00684914" w:rsidRPr="00696797" w:rsidRDefault="00684914" w:rsidP="0018539E">
            <w:pPr>
              <w:spacing w:before="120" w:after="120" w:line="264" w:lineRule="auto"/>
              <w:jc w:val="center"/>
              <w:rPr>
                <w:sz w:val="26"/>
                <w:szCs w:val="26"/>
              </w:rPr>
            </w:pPr>
          </w:p>
        </w:tc>
      </w:tr>
      <w:tr w:rsidR="00684914" w:rsidRPr="00A60C5F" w14:paraId="45F4D2BD"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01C3FED4"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713BF8B" w14:textId="77777777" w:rsidR="00684914" w:rsidRPr="00696797" w:rsidRDefault="00684914" w:rsidP="00F86C2C">
            <w:pPr>
              <w:spacing w:before="120" w:after="120" w:line="264" w:lineRule="auto"/>
              <w:ind w:left="60" w:right="110"/>
              <w:jc w:val="both"/>
              <w:rPr>
                <w:sz w:val="26"/>
                <w:szCs w:val="26"/>
              </w:rPr>
            </w:pPr>
            <w:r w:rsidRPr="00696797">
              <w:rPr>
                <w:sz w:val="26"/>
                <w:szCs w:val="26"/>
              </w:rPr>
              <w:t>Nhận xét đánh giá của thành viên Hội đồng</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2BA80EA2"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9463890" w14:textId="77777777" w:rsidR="00684914" w:rsidRPr="00696797" w:rsidRDefault="00684914" w:rsidP="0018539E">
            <w:pPr>
              <w:spacing w:before="120" w:after="120" w:line="264" w:lineRule="auto"/>
              <w:jc w:val="center"/>
              <w:rPr>
                <w:sz w:val="26"/>
                <w:szCs w:val="26"/>
              </w:rPr>
            </w:pPr>
            <w:r w:rsidRPr="00696797">
              <w:rPr>
                <w:sz w:val="26"/>
                <w:szCs w:val="26"/>
              </w:rPr>
              <w:t>700</w:t>
            </w:r>
          </w:p>
        </w:tc>
      </w:tr>
      <w:tr w:rsidR="00684914" w:rsidRPr="00A60C5F" w14:paraId="7B19F364" w14:textId="77777777" w:rsidTr="00463CBA">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4" w:space="0" w:color="auto"/>
              <w:right w:val="single" w:sz="8" w:space="0" w:color="auto"/>
              <w:tl2br w:val="nil"/>
              <w:tr2bl w:val="nil"/>
            </w:tcBorders>
            <w:shd w:val="clear" w:color="auto" w:fill="auto"/>
            <w:tcMar>
              <w:top w:w="21" w:type="dxa"/>
              <w:left w:w="21" w:type="dxa"/>
              <w:bottom w:w="21" w:type="dxa"/>
              <w:right w:w="21" w:type="dxa"/>
            </w:tcMar>
            <w:vAlign w:val="center"/>
          </w:tcPr>
          <w:p w14:paraId="5C45821D"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4" w:space="0" w:color="auto"/>
              <w:right w:val="single" w:sz="8" w:space="0" w:color="auto"/>
              <w:tl2br w:val="nil"/>
              <w:tr2bl w:val="nil"/>
            </w:tcBorders>
            <w:shd w:val="clear" w:color="auto" w:fill="auto"/>
            <w:tcMar>
              <w:top w:w="21" w:type="dxa"/>
              <w:left w:w="21" w:type="dxa"/>
              <w:bottom w:w="21" w:type="dxa"/>
              <w:right w:w="21" w:type="dxa"/>
            </w:tcMar>
            <w:vAlign w:val="center"/>
          </w:tcPr>
          <w:p w14:paraId="719D6A20" w14:textId="77777777" w:rsidR="00684914" w:rsidRPr="00696797" w:rsidRDefault="00684914" w:rsidP="00F86C2C">
            <w:pPr>
              <w:spacing w:before="120" w:after="120" w:line="264" w:lineRule="auto"/>
              <w:ind w:left="60" w:right="110"/>
              <w:jc w:val="both"/>
              <w:rPr>
                <w:sz w:val="26"/>
                <w:szCs w:val="26"/>
              </w:rPr>
            </w:pPr>
            <w:r w:rsidRPr="00696797">
              <w:rPr>
                <w:sz w:val="26"/>
                <w:szCs w:val="26"/>
              </w:rPr>
              <w:t>Nhận xét đánh giá của Chủ tịch Hội đồng, thành viên phản biện</w:t>
            </w:r>
          </w:p>
        </w:tc>
        <w:tc>
          <w:tcPr>
            <w:tcW w:w="804" w:type="pct"/>
            <w:tcBorders>
              <w:top w:val="nil"/>
              <w:left w:val="nil"/>
              <w:bottom w:val="single" w:sz="4" w:space="0" w:color="auto"/>
              <w:right w:val="single" w:sz="8" w:space="0" w:color="auto"/>
              <w:tl2br w:val="nil"/>
              <w:tr2bl w:val="nil"/>
            </w:tcBorders>
            <w:shd w:val="clear" w:color="auto" w:fill="auto"/>
            <w:tcMar>
              <w:top w:w="21" w:type="dxa"/>
              <w:left w:w="21" w:type="dxa"/>
              <w:bottom w:w="21" w:type="dxa"/>
              <w:right w:w="21" w:type="dxa"/>
            </w:tcMar>
            <w:vAlign w:val="center"/>
          </w:tcPr>
          <w:p w14:paraId="3EFD346D"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4" w:space="0" w:color="auto"/>
              <w:right w:val="single" w:sz="8" w:space="0" w:color="auto"/>
              <w:tl2br w:val="nil"/>
              <w:tr2bl w:val="nil"/>
            </w:tcBorders>
            <w:shd w:val="clear" w:color="auto" w:fill="auto"/>
            <w:tcMar>
              <w:top w:w="21" w:type="dxa"/>
              <w:left w:w="21" w:type="dxa"/>
              <w:bottom w:w="21" w:type="dxa"/>
              <w:right w:w="21" w:type="dxa"/>
            </w:tcMar>
            <w:vAlign w:val="center"/>
          </w:tcPr>
          <w:p w14:paraId="12D11B88" w14:textId="77777777" w:rsidR="00684914" w:rsidRPr="00696797" w:rsidRDefault="00684914" w:rsidP="0018539E">
            <w:pPr>
              <w:spacing w:before="120" w:after="120" w:line="264" w:lineRule="auto"/>
              <w:jc w:val="center"/>
              <w:rPr>
                <w:sz w:val="26"/>
                <w:szCs w:val="26"/>
              </w:rPr>
            </w:pPr>
            <w:r w:rsidRPr="00696797">
              <w:rPr>
                <w:sz w:val="26"/>
                <w:szCs w:val="26"/>
              </w:rPr>
              <w:t>1.000</w:t>
            </w:r>
          </w:p>
        </w:tc>
      </w:tr>
      <w:tr w:rsidR="00684914" w:rsidRPr="00A60C5F" w14:paraId="2B464F12" w14:textId="77777777" w:rsidTr="00463CBA">
        <w:tblPrEx>
          <w:tblBorders>
            <w:top w:val="none" w:sz="0" w:space="0" w:color="auto"/>
            <w:bottom w:val="none" w:sz="0" w:space="0" w:color="auto"/>
            <w:insideH w:val="none" w:sz="0" w:space="0" w:color="auto"/>
            <w:insideV w:val="none" w:sz="0" w:space="0" w:color="auto"/>
          </w:tblBorders>
        </w:tblPrEx>
        <w:tc>
          <w:tcPr>
            <w:tcW w:w="6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21" w:type="dxa"/>
              <w:left w:w="21" w:type="dxa"/>
              <w:bottom w:w="21" w:type="dxa"/>
              <w:right w:w="21" w:type="dxa"/>
            </w:tcMar>
            <w:vAlign w:val="center"/>
          </w:tcPr>
          <w:p w14:paraId="2D9B2C01" w14:textId="77777777" w:rsidR="00684914" w:rsidRPr="00696797" w:rsidRDefault="00684914" w:rsidP="0018539E">
            <w:pPr>
              <w:spacing w:before="120" w:after="120" w:line="264" w:lineRule="auto"/>
              <w:jc w:val="center"/>
              <w:rPr>
                <w:sz w:val="26"/>
                <w:szCs w:val="26"/>
              </w:rPr>
            </w:pPr>
            <w:r w:rsidRPr="00696797">
              <w:rPr>
                <w:b/>
                <w:bCs/>
                <w:sz w:val="26"/>
                <w:szCs w:val="26"/>
              </w:rPr>
              <w:t>4</w:t>
            </w:r>
          </w:p>
        </w:tc>
        <w:tc>
          <w:tcPr>
            <w:tcW w:w="2406" w:type="pct"/>
            <w:tcBorders>
              <w:top w:val="single" w:sz="4" w:space="0" w:color="auto"/>
              <w:left w:val="single" w:sz="4" w:space="0" w:color="auto"/>
              <w:bottom w:val="single" w:sz="4" w:space="0" w:color="auto"/>
              <w:right w:val="single" w:sz="4" w:space="0" w:color="auto"/>
              <w:tl2br w:val="nil"/>
              <w:tr2bl w:val="nil"/>
            </w:tcBorders>
            <w:shd w:val="clear" w:color="auto" w:fill="auto"/>
            <w:tcMar>
              <w:top w:w="21" w:type="dxa"/>
              <w:left w:w="21" w:type="dxa"/>
              <w:bottom w:w="21" w:type="dxa"/>
              <w:right w:w="21" w:type="dxa"/>
            </w:tcMar>
            <w:vAlign w:val="center"/>
          </w:tcPr>
          <w:p w14:paraId="34F3F2C3" w14:textId="77777777" w:rsidR="00684914" w:rsidRPr="00696797" w:rsidRDefault="00684914" w:rsidP="00F86C2C">
            <w:pPr>
              <w:spacing w:before="120" w:after="120" w:line="264" w:lineRule="auto"/>
              <w:ind w:left="60" w:right="110"/>
              <w:jc w:val="both"/>
              <w:rPr>
                <w:sz w:val="26"/>
                <w:szCs w:val="26"/>
              </w:rPr>
            </w:pPr>
            <w:r w:rsidRPr="00696797">
              <w:rPr>
                <w:b/>
                <w:bCs/>
                <w:sz w:val="26"/>
                <w:szCs w:val="26"/>
              </w:rPr>
              <w:t>Chi Hội đồng tư vấn đánh giá tổ chức khoa học và công nghệ công lập, chương trình, chính sách, chiến lược</w:t>
            </w:r>
          </w:p>
        </w:tc>
        <w:tc>
          <w:tcPr>
            <w:tcW w:w="804" w:type="pct"/>
            <w:tcBorders>
              <w:top w:val="single" w:sz="4" w:space="0" w:color="auto"/>
              <w:left w:val="single" w:sz="4" w:space="0" w:color="auto"/>
              <w:bottom w:val="single" w:sz="4" w:space="0" w:color="auto"/>
              <w:right w:val="single" w:sz="4" w:space="0" w:color="auto"/>
              <w:tl2br w:val="nil"/>
              <w:tr2bl w:val="nil"/>
            </w:tcBorders>
            <w:shd w:val="clear" w:color="auto" w:fill="auto"/>
            <w:tcMar>
              <w:top w:w="21" w:type="dxa"/>
              <w:left w:w="21" w:type="dxa"/>
              <w:bottom w:w="21" w:type="dxa"/>
              <w:right w:w="21" w:type="dxa"/>
            </w:tcMar>
            <w:vAlign w:val="center"/>
          </w:tcPr>
          <w:p w14:paraId="0DB4F8DC" w14:textId="77777777" w:rsidR="00684914" w:rsidRPr="00696797" w:rsidRDefault="00684914" w:rsidP="0018539E">
            <w:pPr>
              <w:spacing w:before="120" w:after="120" w:line="264" w:lineRule="auto"/>
              <w:jc w:val="center"/>
              <w:rPr>
                <w:sz w:val="26"/>
                <w:szCs w:val="26"/>
              </w:rPr>
            </w:pPr>
          </w:p>
        </w:tc>
        <w:tc>
          <w:tcPr>
            <w:tcW w:w="11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21" w:type="dxa"/>
              <w:left w:w="21" w:type="dxa"/>
              <w:bottom w:w="21" w:type="dxa"/>
              <w:right w:w="21" w:type="dxa"/>
            </w:tcMar>
            <w:vAlign w:val="center"/>
          </w:tcPr>
          <w:p w14:paraId="72BBD77A" w14:textId="77777777" w:rsidR="00684914" w:rsidRPr="00696797" w:rsidRDefault="00684914" w:rsidP="0018539E">
            <w:pPr>
              <w:spacing w:before="120" w:after="120" w:line="264" w:lineRule="auto"/>
              <w:jc w:val="center"/>
              <w:rPr>
                <w:sz w:val="26"/>
                <w:szCs w:val="26"/>
              </w:rPr>
            </w:pPr>
          </w:p>
        </w:tc>
      </w:tr>
      <w:tr w:rsidR="00684914" w:rsidRPr="00A60C5F" w14:paraId="21E4D557" w14:textId="77777777" w:rsidTr="00463CBA">
        <w:tblPrEx>
          <w:tblBorders>
            <w:top w:val="none" w:sz="0" w:space="0" w:color="auto"/>
            <w:bottom w:val="none" w:sz="0" w:space="0" w:color="auto"/>
            <w:insideH w:val="none" w:sz="0" w:space="0" w:color="auto"/>
            <w:insideV w:val="none" w:sz="0" w:space="0" w:color="auto"/>
          </w:tblBorders>
        </w:tblPrEx>
        <w:tc>
          <w:tcPr>
            <w:tcW w:w="644" w:type="pct"/>
            <w:tcBorders>
              <w:top w:val="single" w:sz="4" w:space="0" w:color="auto"/>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435420CF" w14:textId="77777777" w:rsidR="00684914" w:rsidRPr="00696797" w:rsidRDefault="00684914" w:rsidP="0018539E">
            <w:pPr>
              <w:spacing w:before="120" w:after="120" w:line="264" w:lineRule="auto"/>
              <w:jc w:val="center"/>
              <w:rPr>
                <w:sz w:val="26"/>
                <w:szCs w:val="26"/>
              </w:rPr>
            </w:pPr>
            <w:r w:rsidRPr="00696797">
              <w:rPr>
                <w:sz w:val="26"/>
                <w:szCs w:val="26"/>
              </w:rPr>
              <w:t>a</w:t>
            </w:r>
          </w:p>
        </w:tc>
        <w:tc>
          <w:tcPr>
            <w:tcW w:w="2406" w:type="pct"/>
            <w:tcBorders>
              <w:top w:val="single" w:sz="4" w:space="0" w:color="auto"/>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0D7B72AE" w14:textId="77777777" w:rsidR="00684914" w:rsidRPr="00696797" w:rsidRDefault="00684914" w:rsidP="00F86C2C">
            <w:pPr>
              <w:spacing w:before="120" w:after="120" w:line="264" w:lineRule="auto"/>
              <w:ind w:left="60" w:right="110"/>
              <w:jc w:val="both"/>
              <w:rPr>
                <w:sz w:val="26"/>
                <w:szCs w:val="26"/>
              </w:rPr>
            </w:pPr>
            <w:r w:rsidRPr="00696797">
              <w:rPr>
                <w:sz w:val="26"/>
                <w:szCs w:val="26"/>
              </w:rPr>
              <w:t>Chi họp Hội đồng</w:t>
            </w:r>
          </w:p>
        </w:tc>
        <w:tc>
          <w:tcPr>
            <w:tcW w:w="804" w:type="pct"/>
            <w:tcBorders>
              <w:top w:val="single" w:sz="4" w:space="0" w:color="auto"/>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3EB29A4" w14:textId="77777777" w:rsidR="00684914" w:rsidRPr="00696797" w:rsidRDefault="00684914" w:rsidP="0018539E">
            <w:pPr>
              <w:spacing w:before="120" w:after="120" w:line="264" w:lineRule="auto"/>
              <w:jc w:val="center"/>
              <w:rPr>
                <w:sz w:val="26"/>
                <w:szCs w:val="26"/>
              </w:rPr>
            </w:pPr>
            <w:r w:rsidRPr="00696797">
              <w:rPr>
                <w:sz w:val="26"/>
                <w:szCs w:val="26"/>
              </w:rPr>
              <w:t>Hội đồng</w:t>
            </w:r>
          </w:p>
        </w:tc>
        <w:tc>
          <w:tcPr>
            <w:tcW w:w="1146" w:type="pct"/>
            <w:vMerge w:val="restart"/>
            <w:tcBorders>
              <w:top w:val="single" w:sz="4" w:space="0" w:color="auto"/>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7FA96DC3" w14:textId="77777777" w:rsidR="00684914" w:rsidRPr="00696797" w:rsidRDefault="00684914" w:rsidP="00684914">
            <w:pPr>
              <w:spacing w:before="120" w:after="120" w:line="264" w:lineRule="auto"/>
              <w:jc w:val="both"/>
              <w:rPr>
                <w:sz w:val="26"/>
                <w:szCs w:val="26"/>
              </w:rPr>
            </w:pPr>
            <w:r w:rsidRPr="00696797">
              <w:rPr>
                <w:sz w:val="26"/>
                <w:szCs w:val="26"/>
              </w:rPr>
              <w:t xml:space="preserve">Theo công lao động thực tế và mức chi lương của chuyên gia tư vấn quy định tại Thông tư số </w:t>
            </w:r>
            <w:bookmarkStart w:id="15" w:name="tvpllink_rniltyplmi"/>
            <w:r w:rsidRPr="00696797">
              <w:rPr>
                <w:sz w:val="26"/>
                <w:szCs w:val="26"/>
              </w:rPr>
              <w:t>004/2025/TT-BNV</w:t>
            </w:r>
            <w:bookmarkEnd w:id="15"/>
            <w:r w:rsidRPr="00696797">
              <w:rPr>
                <w:sz w:val="26"/>
                <w:szCs w:val="26"/>
              </w:rPr>
              <w:t xml:space="preserve"> </w:t>
            </w:r>
            <w:r w:rsidRPr="00696797">
              <w:rPr>
                <w:sz w:val="26"/>
                <w:szCs w:val="26"/>
              </w:rPr>
              <w:lastRenderedPageBreak/>
              <w:t>ngày 07 tháng 5 năm 2025 của Bộ trưởng Bộ Nội vụ quy định mức lương của chuyên gia tư vấn trong nước làm cơ sở cho việc xác định giá gói thầu</w:t>
            </w:r>
          </w:p>
        </w:tc>
      </w:tr>
      <w:tr w:rsidR="00684914" w:rsidRPr="00A60C5F" w14:paraId="4F20D471"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2D93C0D"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42E1A992" w14:textId="77777777" w:rsidR="00684914" w:rsidRPr="00696797" w:rsidRDefault="00684914" w:rsidP="00F86C2C">
            <w:pPr>
              <w:spacing w:before="120" w:after="120" w:line="264" w:lineRule="auto"/>
              <w:ind w:left="60" w:right="110"/>
              <w:jc w:val="both"/>
              <w:rPr>
                <w:sz w:val="26"/>
                <w:szCs w:val="26"/>
              </w:rPr>
            </w:pPr>
            <w:r w:rsidRPr="00696797">
              <w:rPr>
                <w:sz w:val="26"/>
                <w:szCs w:val="26"/>
              </w:rPr>
              <w:t>Chủ tịch Hội đồng</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63320A0" w14:textId="77777777" w:rsidR="00684914" w:rsidRPr="00696797" w:rsidRDefault="00684914" w:rsidP="0018539E">
            <w:pPr>
              <w:spacing w:before="120" w:after="120" w:line="264" w:lineRule="auto"/>
              <w:jc w:val="center"/>
              <w:rPr>
                <w:sz w:val="26"/>
                <w:szCs w:val="26"/>
              </w:rPr>
            </w:pPr>
            <w:r w:rsidRPr="00696797">
              <w:rPr>
                <w:sz w:val="26"/>
                <w:szCs w:val="26"/>
              </w:rPr>
              <w:t>Công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778B1E" w14:textId="77777777" w:rsidR="00684914" w:rsidRPr="00696797" w:rsidRDefault="00684914" w:rsidP="0018539E">
            <w:pPr>
              <w:spacing w:before="120" w:after="120" w:line="264" w:lineRule="auto"/>
              <w:jc w:val="center"/>
              <w:rPr>
                <w:sz w:val="26"/>
                <w:szCs w:val="26"/>
              </w:rPr>
            </w:pPr>
          </w:p>
        </w:tc>
      </w:tr>
      <w:tr w:rsidR="00684914" w:rsidRPr="00A60C5F" w14:paraId="6B14FB17"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3982C506"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8CD4614" w14:textId="77777777" w:rsidR="00684914" w:rsidRPr="00696797" w:rsidRDefault="00684914" w:rsidP="00F86C2C">
            <w:pPr>
              <w:spacing w:before="120" w:after="120" w:line="264" w:lineRule="auto"/>
              <w:ind w:left="60" w:right="110"/>
              <w:jc w:val="both"/>
              <w:rPr>
                <w:sz w:val="26"/>
                <w:szCs w:val="26"/>
              </w:rPr>
            </w:pPr>
            <w:r w:rsidRPr="00696797">
              <w:rPr>
                <w:sz w:val="26"/>
                <w:szCs w:val="26"/>
              </w:rPr>
              <w:t>Phó chủ tịch Hội đồng; thành viên Hội đồng</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2606515F" w14:textId="77777777" w:rsidR="00684914" w:rsidRPr="00696797" w:rsidRDefault="00684914" w:rsidP="0018539E">
            <w:pPr>
              <w:spacing w:before="120" w:after="120" w:line="264" w:lineRule="auto"/>
              <w:jc w:val="center"/>
              <w:rPr>
                <w:sz w:val="26"/>
                <w:szCs w:val="26"/>
              </w:rPr>
            </w:pPr>
            <w:r w:rsidRPr="00696797">
              <w:rPr>
                <w:sz w:val="26"/>
                <w:szCs w:val="26"/>
              </w:rPr>
              <w:t>Công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6C76C3" w14:textId="77777777" w:rsidR="00684914" w:rsidRPr="00696797" w:rsidRDefault="00684914" w:rsidP="0018539E">
            <w:pPr>
              <w:spacing w:before="120" w:after="120" w:line="264" w:lineRule="auto"/>
              <w:jc w:val="center"/>
              <w:rPr>
                <w:sz w:val="26"/>
                <w:szCs w:val="26"/>
              </w:rPr>
            </w:pPr>
          </w:p>
        </w:tc>
      </w:tr>
      <w:tr w:rsidR="00684914" w:rsidRPr="00A60C5F" w14:paraId="77953249"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1EF1A2E9"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37037A5E" w14:textId="77777777" w:rsidR="00684914" w:rsidRPr="00696797" w:rsidRDefault="00684914" w:rsidP="00F86C2C">
            <w:pPr>
              <w:spacing w:before="120" w:after="120" w:line="264" w:lineRule="auto"/>
              <w:ind w:left="60" w:right="110"/>
              <w:jc w:val="both"/>
              <w:rPr>
                <w:sz w:val="26"/>
                <w:szCs w:val="26"/>
              </w:rPr>
            </w:pPr>
            <w:r w:rsidRPr="00696797">
              <w:rPr>
                <w:sz w:val="26"/>
                <w:szCs w:val="26"/>
              </w:rPr>
              <w:t>Thư ký khoa học</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1B7A4B0E" w14:textId="77777777" w:rsidR="00684914" w:rsidRPr="00696797" w:rsidRDefault="00684914" w:rsidP="0018539E">
            <w:pPr>
              <w:spacing w:before="120" w:after="120" w:line="264" w:lineRule="auto"/>
              <w:jc w:val="center"/>
              <w:rPr>
                <w:sz w:val="26"/>
                <w:szCs w:val="26"/>
              </w:rPr>
            </w:pPr>
            <w:r w:rsidRPr="00696797">
              <w:rPr>
                <w:sz w:val="26"/>
                <w:szCs w:val="26"/>
              </w:rPr>
              <w:t>Công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9E28EF" w14:textId="77777777" w:rsidR="00684914" w:rsidRPr="00696797" w:rsidRDefault="00684914" w:rsidP="0018539E">
            <w:pPr>
              <w:spacing w:before="120" w:after="120" w:line="264" w:lineRule="auto"/>
              <w:jc w:val="center"/>
              <w:rPr>
                <w:sz w:val="26"/>
                <w:szCs w:val="26"/>
              </w:rPr>
            </w:pPr>
          </w:p>
        </w:tc>
      </w:tr>
      <w:tr w:rsidR="00684914" w:rsidRPr="00A60C5F" w14:paraId="5689B60F"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31B71614"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7D6C4F9" w14:textId="77777777" w:rsidR="00684914" w:rsidRPr="00696797" w:rsidRDefault="00684914" w:rsidP="00F86C2C">
            <w:pPr>
              <w:spacing w:before="120" w:after="120" w:line="264" w:lineRule="auto"/>
              <w:ind w:left="60" w:right="110"/>
              <w:jc w:val="both"/>
              <w:rPr>
                <w:sz w:val="26"/>
                <w:szCs w:val="26"/>
              </w:rPr>
            </w:pPr>
            <w:r w:rsidRPr="00696797">
              <w:rPr>
                <w:sz w:val="26"/>
                <w:szCs w:val="26"/>
              </w:rPr>
              <w:t>Thư ký hành chính</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54F57C6" w14:textId="77777777" w:rsidR="00684914" w:rsidRPr="00696797" w:rsidRDefault="00684914" w:rsidP="0018539E">
            <w:pPr>
              <w:spacing w:before="120" w:after="120" w:line="264" w:lineRule="auto"/>
              <w:jc w:val="center"/>
              <w:rPr>
                <w:sz w:val="26"/>
                <w:szCs w:val="26"/>
              </w:rPr>
            </w:pPr>
            <w:r w:rsidRPr="00696797">
              <w:rPr>
                <w:sz w:val="26"/>
                <w:szCs w:val="26"/>
              </w:rPr>
              <w:t>Công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E74689" w14:textId="77777777" w:rsidR="00684914" w:rsidRPr="00696797" w:rsidRDefault="00684914" w:rsidP="0018539E">
            <w:pPr>
              <w:spacing w:before="120" w:after="120" w:line="264" w:lineRule="auto"/>
              <w:jc w:val="center"/>
              <w:rPr>
                <w:sz w:val="26"/>
                <w:szCs w:val="26"/>
              </w:rPr>
            </w:pPr>
          </w:p>
        </w:tc>
      </w:tr>
      <w:tr w:rsidR="00684914" w:rsidRPr="00A60C5F" w14:paraId="77389954"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7C1A3171" w14:textId="77777777" w:rsidR="00684914" w:rsidRPr="00696797" w:rsidRDefault="00684914" w:rsidP="0018539E">
            <w:pPr>
              <w:spacing w:before="120" w:after="120" w:line="264" w:lineRule="auto"/>
              <w:jc w:val="center"/>
              <w:rPr>
                <w:sz w:val="26"/>
                <w:szCs w:val="26"/>
              </w:rPr>
            </w:pPr>
            <w:r w:rsidRPr="00696797">
              <w:rPr>
                <w:b/>
                <w:bCs/>
                <w:sz w:val="26"/>
                <w:szCs w:val="26"/>
              </w:rPr>
              <w:t>b</w:t>
            </w: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13E7ADA5" w14:textId="77777777" w:rsidR="00684914" w:rsidRPr="00696797" w:rsidRDefault="00684914" w:rsidP="00F86C2C">
            <w:pPr>
              <w:spacing w:before="120" w:after="120" w:line="264" w:lineRule="auto"/>
              <w:ind w:left="60" w:right="110"/>
              <w:jc w:val="both"/>
              <w:rPr>
                <w:sz w:val="26"/>
                <w:szCs w:val="26"/>
              </w:rPr>
            </w:pPr>
            <w:r w:rsidRPr="00696797">
              <w:rPr>
                <w:b/>
                <w:bCs/>
                <w:sz w:val="26"/>
                <w:szCs w:val="26"/>
              </w:rPr>
              <w:t>Chi nhận xét đánh giá</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39FD5481" w14:textId="77777777" w:rsidR="00684914" w:rsidRPr="00696797" w:rsidRDefault="00684914" w:rsidP="0018539E">
            <w:pPr>
              <w:spacing w:before="120" w:after="120" w:line="264" w:lineRule="auto"/>
              <w:jc w:val="center"/>
              <w:rPr>
                <w:sz w:val="26"/>
                <w:szCs w:val="26"/>
              </w:rPr>
            </w:pPr>
            <w:r w:rsidRPr="00696797">
              <w:rPr>
                <w:sz w:val="26"/>
                <w:szCs w:val="26"/>
              </w:rPr>
              <w:t>01 phiếu nhận xét</w:t>
            </w: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469FB03B" w14:textId="77777777" w:rsidR="00684914" w:rsidRPr="00696797" w:rsidRDefault="00684914" w:rsidP="0018539E">
            <w:pPr>
              <w:spacing w:before="120" w:after="120" w:line="264" w:lineRule="auto"/>
              <w:jc w:val="center"/>
              <w:rPr>
                <w:sz w:val="26"/>
                <w:szCs w:val="26"/>
              </w:rPr>
            </w:pPr>
          </w:p>
        </w:tc>
      </w:tr>
      <w:tr w:rsidR="00684914" w:rsidRPr="00A60C5F" w14:paraId="3C74F6BA"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15F19CF" w14:textId="77777777" w:rsidR="00684914" w:rsidRPr="00696797" w:rsidRDefault="00684914" w:rsidP="0018539E">
            <w:pPr>
              <w:spacing w:before="120" w:after="120" w:line="264" w:lineRule="auto"/>
              <w:jc w:val="center"/>
              <w:rPr>
                <w:sz w:val="26"/>
                <w:szCs w:val="26"/>
              </w:rPr>
            </w:pP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486E026D" w14:textId="77777777" w:rsidR="00684914" w:rsidRPr="00696797" w:rsidRDefault="00684914" w:rsidP="00F86C2C">
            <w:pPr>
              <w:spacing w:before="120" w:after="120" w:line="264" w:lineRule="auto"/>
              <w:ind w:left="60" w:right="110"/>
              <w:jc w:val="both"/>
              <w:rPr>
                <w:sz w:val="26"/>
                <w:szCs w:val="26"/>
              </w:rPr>
            </w:pPr>
            <w:r w:rsidRPr="00696797">
              <w:rPr>
                <w:sz w:val="26"/>
                <w:szCs w:val="26"/>
              </w:rPr>
              <w:t>Nhận xét đánh giá của thành viên Hội đồng</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3F5FDC79" w14:textId="77777777" w:rsidR="00684914" w:rsidRPr="00696797" w:rsidRDefault="00684914" w:rsidP="0018539E">
            <w:pPr>
              <w:spacing w:before="120" w:after="120" w:line="264" w:lineRule="auto"/>
              <w:jc w:val="center"/>
              <w:rPr>
                <w:sz w:val="26"/>
                <w:szCs w:val="26"/>
              </w:rPr>
            </w:pP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B99F5BB" w14:textId="77777777" w:rsidR="00684914" w:rsidRPr="00696797" w:rsidRDefault="00684914" w:rsidP="0018539E">
            <w:pPr>
              <w:spacing w:before="120" w:after="120" w:line="264" w:lineRule="auto"/>
              <w:jc w:val="center"/>
              <w:rPr>
                <w:sz w:val="26"/>
                <w:szCs w:val="26"/>
              </w:rPr>
            </w:pPr>
            <w:r w:rsidRPr="00696797">
              <w:rPr>
                <w:sz w:val="26"/>
                <w:szCs w:val="26"/>
              </w:rPr>
              <w:t>1.000</w:t>
            </w:r>
          </w:p>
        </w:tc>
      </w:tr>
      <w:tr w:rsidR="00684914" w:rsidRPr="00A60C5F" w14:paraId="70CCDBAD" w14:textId="77777777" w:rsidTr="0018539E">
        <w:tblPrEx>
          <w:tblBorders>
            <w:top w:val="none" w:sz="0" w:space="0" w:color="auto"/>
            <w:bottom w:val="none" w:sz="0" w:space="0" w:color="auto"/>
            <w:insideH w:val="none" w:sz="0" w:space="0" w:color="auto"/>
            <w:insideV w:val="none" w:sz="0" w:space="0" w:color="auto"/>
          </w:tblBorders>
        </w:tblPrEx>
        <w:tc>
          <w:tcPr>
            <w:tcW w:w="644" w:type="pct"/>
            <w:tcBorders>
              <w:top w:val="nil"/>
              <w:left w:val="single" w:sz="8" w:space="0" w:color="auto"/>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6E2A17B5" w14:textId="77777777" w:rsidR="00684914" w:rsidRPr="00696797" w:rsidRDefault="00684914" w:rsidP="0018539E">
            <w:pPr>
              <w:spacing w:before="120" w:after="120" w:line="264" w:lineRule="auto"/>
              <w:jc w:val="center"/>
              <w:rPr>
                <w:sz w:val="26"/>
                <w:szCs w:val="26"/>
              </w:rPr>
            </w:pPr>
            <w:r w:rsidRPr="00696797">
              <w:rPr>
                <w:b/>
                <w:bCs/>
                <w:sz w:val="26"/>
                <w:szCs w:val="26"/>
              </w:rPr>
              <w:t>5</w:t>
            </w:r>
          </w:p>
        </w:tc>
        <w:tc>
          <w:tcPr>
            <w:tcW w:w="240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5FDC684C" w14:textId="77777777" w:rsidR="00684914" w:rsidRPr="00696797" w:rsidRDefault="00684914" w:rsidP="00F86C2C">
            <w:pPr>
              <w:spacing w:before="120" w:after="120" w:line="264" w:lineRule="auto"/>
              <w:ind w:left="60" w:right="110"/>
              <w:jc w:val="both"/>
              <w:rPr>
                <w:sz w:val="26"/>
                <w:szCs w:val="26"/>
              </w:rPr>
            </w:pPr>
            <w:r w:rsidRPr="00696797">
              <w:rPr>
                <w:b/>
                <w:bCs/>
                <w:sz w:val="26"/>
                <w:szCs w:val="26"/>
              </w:rPr>
              <w:t>Chi thù lao chuyên gia tư vấn độc lập; chuyên gia tư vấn độc lập phục vụ Hội đồng; chuyên gia tư vấn độc lập tham gia Tổ chuyên gia</w:t>
            </w:r>
          </w:p>
        </w:tc>
        <w:tc>
          <w:tcPr>
            <w:tcW w:w="804"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259A1B08" w14:textId="77777777" w:rsidR="00684914" w:rsidRPr="00696797" w:rsidRDefault="00684914" w:rsidP="0018539E">
            <w:pPr>
              <w:spacing w:before="120" w:after="120" w:line="264" w:lineRule="auto"/>
              <w:jc w:val="center"/>
              <w:rPr>
                <w:sz w:val="26"/>
                <w:szCs w:val="26"/>
              </w:rPr>
            </w:pPr>
            <w:r w:rsidRPr="00696797">
              <w:rPr>
                <w:sz w:val="26"/>
                <w:szCs w:val="26"/>
              </w:rPr>
              <w:t>Chuyên gia</w:t>
            </w:r>
          </w:p>
        </w:tc>
        <w:tc>
          <w:tcPr>
            <w:tcW w:w="1146" w:type="pct"/>
            <w:tcBorders>
              <w:top w:val="nil"/>
              <w:left w:val="nil"/>
              <w:bottom w:val="single" w:sz="8" w:space="0" w:color="auto"/>
              <w:right w:val="single" w:sz="8" w:space="0" w:color="auto"/>
              <w:tl2br w:val="nil"/>
              <w:tr2bl w:val="nil"/>
            </w:tcBorders>
            <w:shd w:val="clear" w:color="auto" w:fill="auto"/>
            <w:tcMar>
              <w:top w:w="21" w:type="dxa"/>
              <w:left w:w="21" w:type="dxa"/>
              <w:bottom w:w="21" w:type="dxa"/>
              <w:right w:w="21" w:type="dxa"/>
            </w:tcMar>
            <w:vAlign w:val="center"/>
          </w:tcPr>
          <w:p w14:paraId="240BB935" w14:textId="77777777" w:rsidR="00684914" w:rsidRPr="00696797" w:rsidRDefault="00684914" w:rsidP="0018539E">
            <w:pPr>
              <w:spacing w:before="120" w:after="120" w:line="264" w:lineRule="auto"/>
              <w:jc w:val="center"/>
              <w:rPr>
                <w:sz w:val="26"/>
                <w:szCs w:val="26"/>
              </w:rPr>
            </w:pPr>
            <w:r w:rsidRPr="00696797">
              <w:rPr>
                <w:sz w:val="26"/>
                <w:szCs w:val="26"/>
              </w:rPr>
              <w:t>1.500</w:t>
            </w:r>
          </w:p>
        </w:tc>
      </w:tr>
    </w:tbl>
    <w:p w14:paraId="1267EBDF" w14:textId="0407B95E" w:rsidR="00684914" w:rsidRPr="00F10622" w:rsidRDefault="007F2061" w:rsidP="00463CBA">
      <w:pPr>
        <w:tabs>
          <w:tab w:val="left" w:pos="810"/>
        </w:tabs>
        <w:spacing w:before="240" w:after="120" w:line="276" w:lineRule="auto"/>
        <w:ind w:firstLine="547"/>
        <w:jc w:val="both"/>
        <w:rPr>
          <w:rFonts w:asciiTheme="majorHAnsi" w:hAnsiTheme="majorHAnsi" w:cstheme="majorHAnsi"/>
          <w:color w:val="FF0000"/>
          <w:sz w:val="28"/>
          <w:szCs w:val="28"/>
        </w:rPr>
      </w:pPr>
      <w:r w:rsidRPr="00F10622">
        <w:rPr>
          <w:color w:val="FF0000"/>
          <w:sz w:val="28"/>
          <w:szCs w:val="28"/>
        </w:rPr>
        <w:t>b</w:t>
      </w:r>
      <w:r w:rsidR="00684914" w:rsidRPr="00F10622">
        <w:rPr>
          <w:color w:val="FF0000"/>
          <w:sz w:val="28"/>
          <w:szCs w:val="28"/>
        </w:rPr>
        <w:t xml:space="preserve">) Dự toán chi thù lao của các Hội đồng khác quy định tại </w:t>
      </w:r>
      <w:r w:rsidRPr="00F10622">
        <w:rPr>
          <w:color w:val="FF0000"/>
          <w:sz w:val="28"/>
          <w:szCs w:val="28"/>
          <w:lang w:val="vi-VN"/>
        </w:rPr>
        <w:t xml:space="preserve">Thông tư </w:t>
      </w:r>
      <w:r w:rsidRPr="00F10622">
        <w:rPr>
          <w:color w:val="FF0000"/>
          <w:sz w:val="28"/>
          <w:szCs w:val="28"/>
        </w:rPr>
        <w:t xml:space="preserve">số 38/2025/TT-KHCN </w:t>
      </w:r>
      <w:r w:rsidRPr="00F10622">
        <w:rPr>
          <w:color w:val="FF0000"/>
          <w:sz w:val="28"/>
          <w:szCs w:val="28"/>
          <w:lang w:val="vi-VN"/>
        </w:rPr>
        <w:t xml:space="preserve">được áp dụng tối đa bằng 50% mức chi </w:t>
      </w:r>
      <w:r w:rsidRPr="00F10622">
        <w:rPr>
          <w:color w:val="FF0000"/>
          <w:sz w:val="28"/>
          <w:szCs w:val="28"/>
        </w:rPr>
        <w:t>của Hội đồng xét tài trợ, đặt hàng nhiệm vụ khoa học, công nghệ và đổi mới sáng tạo quy định tại điểm a khoản 1 Điều này</w:t>
      </w:r>
      <w:r w:rsidR="00684914" w:rsidRPr="00F10622">
        <w:rPr>
          <w:color w:val="FF0000"/>
          <w:sz w:val="28"/>
          <w:szCs w:val="28"/>
        </w:rPr>
        <w:t>;</w:t>
      </w:r>
    </w:p>
    <w:p w14:paraId="390BA90F" w14:textId="032E97AF" w:rsidR="00684914" w:rsidRDefault="00DD61AB" w:rsidP="00757C82">
      <w:pPr>
        <w:tabs>
          <w:tab w:val="left" w:pos="810"/>
        </w:tabs>
        <w:spacing w:before="120" w:after="120" w:line="276" w:lineRule="auto"/>
        <w:ind w:firstLine="547"/>
        <w:jc w:val="both"/>
        <w:rPr>
          <w:sz w:val="28"/>
          <w:szCs w:val="28"/>
        </w:rPr>
      </w:pPr>
      <w:r>
        <w:rPr>
          <w:sz w:val="28"/>
          <w:szCs w:val="28"/>
        </w:rPr>
        <w:t xml:space="preserve">c) </w:t>
      </w:r>
      <w:r w:rsidRPr="00A60C5F">
        <w:rPr>
          <w:sz w:val="28"/>
          <w:szCs w:val="28"/>
        </w:rPr>
        <w:t>Các nội dung chi khác (thuê hội trường, văn phòng phẩm, nước uống, công tác phí và các chi phí cần thiết khác) được xây dựng dự toán trên cơ sở dự kiến khối lượng công việc</w:t>
      </w:r>
      <w:r w:rsidR="00696797">
        <w:rPr>
          <w:sz w:val="28"/>
          <w:szCs w:val="28"/>
        </w:rPr>
        <w:t xml:space="preserve">; </w:t>
      </w:r>
      <w:r w:rsidR="00696797" w:rsidRPr="00696797">
        <w:rPr>
          <w:color w:val="4472C4" w:themeColor="accent1"/>
          <w:sz w:val="28"/>
          <w:szCs w:val="28"/>
        </w:rPr>
        <w:t>Nghị quyết số 04/2025/NQ-HĐND</w:t>
      </w:r>
      <w:r w:rsidR="00696797" w:rsidRPr="00696797">
        <w:rPr>
          <w:bCs/>
          <w:iCs/>
          <w:color w:val="4472C4" w:themeColor="accent1"/>
          <w:spacing w:val="6"/>
          <w:sz w:val="28"/>
          <w:szCs w:val="28"/>
        </w:rPr>
        <w:t xml:space="preserve"> ngày 03 tháng 10 năm 2025 của Hội đồng nhân dân tỉnh Quy định mức chi chế độ công tác phí, chế độ chi hội nghị trên địa bàn tỉnh Đồng Nai</w:t>
      </w:r>
      <w:r w:rsidR="00696797">
        <w:rPr>
          <w:color w:val="FF0000"/>
          <w:sz w:val="28"/>
          <w:szCs w:val="28"/>
        </w:rPr>
        <w:t xml:space="preserve">; </w:t>
      </w:r>
      <w:r w:rsidR="00696797" w:rsidRPr="00696797">
        <w:rPr>
          <w:color w:val="FF0000"/>
          <w:sz w:val="28"/>
          <w:szCs w:val="28"/>
        </w:rPr>
        <w:t>Thông tư số 40/2017/TT-BTC ngày 28 tháng 4 năm 2017 của Bộ trưởng Bộ Tài chính quy định chế độ công tác phí, chế độ chi hội nghị, được sửa đổi bổ sung bởi Thông tư số 12/2025/TT-BTC ngày 19 tháng 3 năm 2025 của Bộ trưởng Bộ Tài chính</w:t>
      </w:r>
      <w:r w:rsidRPr="00A60C5F">
        <w:rPr>
          <w:sz w:val="28"/>
          <w:szCs w:val="28"/>
        </w:rPr>
        <w:t xml:space="preserve"> và các quy định của pháp luật </w:t>
      </w:r>
      <w:r w:rsidR="00750B43">
        <w:rPr>
          <w:sz w:val="28"/>
          <w:szCs w:val="28"/>
        </w:rPr>
        <w:t>hiện hành có liên quan</w:t>
      </w:r>
      <w:r>
        <w:rPr>
          <w:sz w:val="28"/>
          <w:szCs w:val="28"/>
        </w:rPr>
        <w:t>.</w:t>
      </w:r>
    </w:p>
    <w:p w14:paraId="64CCA35B" w14:textId="65AC123C" w:rsidR="00DD61AB" w:rsidRDefault="00DD61AB" w:rsidP="00757C82">
      <w:pPr>
        <w:tabs>
          <w:tab w:val="left" w:pos="810"/>
        </w:tabs>
        <w:spacing w:before="120" w:after="120" w:line="276" w:lineRule="auto"/>
        <w:ind w:firstLine="547"/>
        <w:jc w:val="both"/>
        <w:rPr>
          <w:sz w:val="28"/>
          <w:szCs w:val="28"/>
        </w:rPr>
      </w:pPr>
      <w:r>
        <w:rPr>
          <w:sz w:val="28"/>
          <w:szCs w:val="28"/>
        </w:rPr>
        <w:t xml:space="preserve">2. </w:t>
      </w:r>
      <w:r w:rsidRPr="00A60C5F">
        <w:rPr>
          <w:sz w:val="28"/>
          <w:szCs w:val="28"/>
        </w:rPr>
        <w:t>Chi hoạt động của tổ thẩm định kinh phí thực hiện nhiệm vụ khoa học, công nghệ và đổi mới sáng tạo</w:t>
      </w:r>
    </w:p>
    <w:p w14:paraId="18B9943F" w14:textId="77777777" w:rsidR="00DD61AB" w:rsidRPr="00A60C5F" w:rsidRDefault="00DD61AB" w:rsidP="00757C82">
      <w:pPr>
        <w:spacing w:before="120" w:after="120" w:line="276" w:lineRule="auto"/>
        <w:ind w:firstLine="547"/>
        <w:jc w:val="both"/>
        <w:rPr>
          <w:sz w:val="28"/>
          <w:szCs w:val="28"/>
        </w:rPr>
      </w:pPr>
      <w:r w:rsidRPr="00A60C5F">
        <w:rPr>
          <w:sz w:val="28"/>
          <w:szCs w:val="28"/>
        </w:rPr>
        <w:t>a) Chi tiền thù lao:</w:t>
      </w:r>
    </w:p>
    <w:p w14:paraId="2278FA0D" w14:textId="77777777" w:rsidR="00DD61AB" w:rsidRPr="00A60C5F" w:rsidRDefault="00DD61AB" w:rsidP="00DD61AB">
      <w:pPr>
        <w:spacing w:before="120" w:after="120" w:line="264" w:lineRule="auto"/>
        <w:jc w:val="right"/>
        <w:rPr>
          <w:sz w:val="28"/>
          <w:szCs w:val="28"/>
        </w:rPr>
      </w:pPr>
      <w:r w:rsidRPr="00A60C5F">
        <w:rPr>
          <w:i/>
          <w:iCs/>
          <w:sz w:val="28"/>
          <w:szCs w:val="28"/>
        </w:rPr>
        <w:t>Đơn vị tính: 1.000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0"/>
        <w:gridCol w:w="3695"/>
        <w:gridCol w:w="1892"/>
        <w:gridCol w:w="2763"/>
      </w:tblGrid>
      <w:tr w:rsidR="00F60ABB" w:rsidRPr="00A60C5F" w14:paraId="34377214" w14:textId="77777777" w:rsidTr="00F60ABB">
        <w:tc>
          <w:tcPr>
            <w:tcW w:w="392" w:type="pct"/>
            <w:shd w:val="clear" w:color="auto" w:fill="auto"/>
            <w:tcMar>
              <w:top w:w="21" w:type="dxa"/>
              <w:left w:w="21" w:type="dxa"/>
              <w:bottom w:w="21" w:type="dxa"/>
              <w:right w:w="21" w:type="dxa"/>
            </w:tcMar>
            <w:vAlign w:val="center"/>
          </w:tcPr>
          <w:p w14:paraId="161D794E" w14:textId="77777777" w:rsidR="00DD61AB" w:rsidRPr="00A60C5F" w:rsidRDefault="00DD61AB" w:rsidP="00DD61AB">
            <w:pPr>
              <w:spacing w:before="120" w:after="120" w:line="264" w:lineRule="auto"/>
              <w:jc w:val="center"/>
              <w:rPr>
                <w:sz w:val="28"/>
                <w:szCs w:val="28"/>
              </w:rPr>
            </w:pPr>
            <w:r w:rsidRPr="00A60C5F">
              <w:rPr>
                <w:b/>
                <w:bCs/>
                <w:sz w:val="28"/>
                <w:szCs w:val="28"/>
              </w:rPr>
              <w:t>TT</w:t>
            </w:r>
          </w:p>
        </w:tc>
        <w:tc>
          <w:tcPr>
            <w:tcW w:w="2039" w:type="pct"/>
            <w:shd w:val="clear" w:color="auto" w:fill="auto"/>
            <w:tcMar>
              <w:top w:w="21" w:type="dxa"/>
              <w:left w:w="21" w:type="dxa"/>
              <w:bottom w:w="21" w:type="dxa"/>
              <w:right w:w="21" w:type="dxa"/>
            </w:tcMar>
            <w:vAlign w:val="center"/>
          </w:tcPr>
          <w:p w14:paraId="03C37450" w14:textId="77777777" w:rsidR="00DD61AB" w:rsidRPr="00A60C5F" w:rsidRDefault="00DD61AB" w:rsidP="00DD61AB">
            <w:pPr>
              <w:spacing w:before="120" w:after="120" w:line="264" w:lineRule="auto"/>
              <w:jc w:val="center"/>
              <w:rPr>
                <w:sz w:val="28"/>
                <w:szCs w:val="28"/>
              </w:rPr>
            </w:pPr>
            <w:r w:rsidRPr="00A60C5F">
              <w:rPr>
                <w:b/>
                <w:bCs/>
                <w:sz w:val="28"/>
                <w:szCs w:val="28"/>
              </w:rPr>
              <w:t>Nội dung</w:t>
            </w:r>
          </w:p>
        </w:tc>
        <w:tc>
          <w:tcPr>
            <w:tcW w:w="1044" w:type="pct"/>
            <w:shd w:val="clear" w:color="auto" w:fill="auto"/>
            <w:tcMar>
              <w:top w:w="21" w:type="dxa"/>
              <w:left w:w="21" w:type="dxa"/>
              <w:bottom w:w="21" w:type="dxa"/>
              <w:right w:w="21" w:type="dxa"/>
            </w:tcMar>
            <w:vAlign w:val="center"/>
          </w:tcPr>
          <w:p w14:paraId="7C51E5C5" w14:textId="77777777" w:rsidR="00DD61AB" w:rsidRPr="00A60C5F" w:rsidRDefault="00DD61AB" w:rsidP="00DD61AB">
            <w:pPr>
              <w:spacing w:before="120" w:after="120" w:line="264" w:lineRule="auto"/>
              <w:jc w:val="center"/>
              <w:rPr>
                <w:sz w:val="28"/>
                <w:szCs w:val="28"/>
              </w:rPr>
            </w:pPr>
            <w:r w:rsidRPr="00A60C5F">
              <w:rPr>
                <w:b/>
                <w:bCs/>
                <w:sz w:val="28"/>
                <w:szCs w:val="28"/>
              </w:rPr>
              <w:t>Đơn vị tính</w:t>
            </w:r>
          </w:p>
        </w:tc>
        <w:tc>
          <w:tcPr>
            <w:tcW w:w="1525" w:type="pct"/>
            <w:shd w:val="clear" w:color="auto" w:fill="auto"/>
            <w:tcMar>
              <w:top w:w="21" w:type="dxa"/>
              <w:left w:w="21" w:type="dxa"/>
              <w:bottom w:w="21" w:type="dxa"/>
              <w:right w:w="21" w:type="dxa"/>
            </w:tcMar>
            <w:vAlign w:val="center"/>
          </w:tcPr>
          <w:p w14:paraId="6CE8A60F" w14:textId="224D7801" w:rsidR="00DD61AB" w:rsidRPr="00A60C5F" w:rsidRDefault="00DD61AB" w:rsidP="00DD61AB">
            <w:pPr>
              <w:spacing w:before="120" w:after="120" w:line="264" w:lineRule="auto"/>
              <w:jc w:val="center"/>
              <w:rPr>
                <w:sz w:val="28"/>
                <w:szCs w:val="28"/>
              </w:rPr>
            </w:pPr>
            <w:r>
              <w:rPr>
                <w:b/>
                <w:bCs/>
                <w:sz w:val="28"/>
                <w:szCs w:val="28"/>
              </w:rPr>
              <w:t>Đ</w:t>
            </w:r>
            <w:r w:rsidRPr="00A60C5F">
              <w:rPr>
                <w:b/>
                <w:bCs/>
                <w:sz w:val="28"/>
                <w:szCs w:val="28"/>
              </w:rPr>
              <w:t>ịnh mức chi</w:t>
            </w:r>
          </w:p>
        </w:tc>
      </w:tr>
      <w:tr w:rsidR="00F60ABB" w:rsidRPr="00A60C5F" w14:paraId="22F36669" w14:textId="77777777" w:rsidTr="00F60ABB">
        <w:tc>
          <w:tcPr>
            <w:tcW w:w="392" w:type="pct"/>
            <w:shd w:val="clear" w:color="auto" w:fill="auto"/>
            <w:tcMar>
              <w:top w:w="21" w:type="dxa"/>
              <w:left w:w="21" w:type="dxa"/>
              <w:bottom w:w="21" w:type="dxa"/>
              <w:right w:w="21" w:type="dxa"/>
            </w:tcMar>
            <w:vAlign w:val="center"/>
          </w:tcPr>
          <w:p w14:paraId="4E204102" w14:textId="77777777" w:rsidR="00DD61AB" w:rsidRPr="00A60C5F" w:rsidRDefault="00DD61AB" w:rsidP="00DD61AB">
            <w:pPr>
              <w:spacing w:before="120" w:after="120" w:line="264" w:lineRule="auto"/>
              <w:jc w:val="center"/>
              <w:rPr>
                <w:sz w:val="28"/>
                <w:szCs w:val="28"/>
              </w:rPr>
            </w:pPr>
            <w:r w:rsidRPr="00A60C5F">
              <w:rPr>
                <w:sz w:val="28"/>
                <w:szCs w:val="28"/>
              </w:rPr>
              <w:t>1</w:t>
            </w:r>
          </w:p>
        </w:tc>
        <w:tc>
          <w:tcPr>
            <w:tcW w:w="2039" w:type="pct"/>
            <w:shd w:val="clear" w:color="auto" w:fill="auto"/>
            <w:tcMar>
              <w:top w:w="21" w:type="dxa"/>
              <w:left w:w="21" w:type="dxa"/>
              <w:bottom w:w="21" w:type="dxa"/>
              <w:right w:w="21" w:type="dxa"/>
            </w:tcMar>
            <w:vAlign w:val="center"/>
          </w:tcPr>
          <w:p w14:paraId="466AB81A" w14:textId="77777777" w:rsidR="00DD61AB" w:rsidRPr="00A60C5F" w:rsidRDefault="00DD61AB" w:rsidP="00DD61AB">
            <w:pPr>
              <w:spacing w:before="120" w:after="120" w:line="264" w:lineRule="auto"/>
              <w:jc w:val="both"/>
              <w:rPr>
                <w:sz w:val="28"/>
                <w:szCs w:val="28"/>
              </w:rPr>
            </w:pPr>
            <w:r w:rsidRPr="00A60C5F">
              <w:rPr>
                <w:sz w:val="28"/>
                <w:szCs w:val="28"/>
              </w:rPr>
              <w:t>Tổ trưởng tổ thẩm định</w:t>
            </w:r>
          </w:p>
        </w:tc>
        <w:tc>
          <w:tcPr>
            <w:tcW w:w="1044" w:type="pct"/>
            <w:shd w:val="clear" w:color="auto" w:fill="auto"/>
            <w:tcMar>
              <w:top w:w="21" w:type="dxa"/>
              <w:left w:w="21" w:type="dxa"/>
              <w:bottom w:w="21" w:type="dxa"/>
              <w:right w:w="21" w:type="dxa"/>
            </w:tcMar>
            <w:vAlign w:val="center"/>
          </w:tcPr>
          <w:p w14:paraId="07259723" w14:textId="77777777" w:rsidR="00DD61AB" w:rsidRPr="00A60C5F" w:rsidRDefault="00DD61AB" w:rsidP="00DD61AB">
            <w:pPr>
              <w:spacing w:before="120" w:after="120" w:line="264" w:lineRule="auto"/>
              <w:jc w:val="center"/>
              <w:rPr>
                <w:sz w:val="28"/>
                <w:szCs w:val="28"/>
              </w:rPr>
            </w:pPr>
            <w:r w:rsidRPr="00A60C5F">
              <w:rPr>
                <w:sz w:val="28"/>
                <w:szCs w:val="28"/>
              </w:rPr>
              <w:t>Nhiệm vụ</w:t>
            </w:r>
          </w:p>
        </w:tc>
        <w:tc>
          <w:tcPr>
            <w:tcW w:w="1525" w:type="pct"/>
            <w:shd w:val="clear" w:color="auto" w:fill="auto"/>
            <w:tcMar>
              <w:top w:w="21" w:type="dxa"/>
              <w:left w:w="21" w:type="dxa"/>
              <w:bottom w:w="21" w:type="dxa"/>
              <w:right w:w="21" w:type="dxa"/>
            </w:tcMar>
            <w:vAlign w:val="center"/>
          </w:tcPr>
          <w:p w14:paraId="4823DD73" w14:textId="77777777" w:rsidR="00DD61AB" w:rsidRPr="00A60C5F" w:rsidRDefault="00DD61AB" w:rsidP="00DD61AB">
            <w:pPr>
              <w:spacing w:before="120" w:after="120" w:line="264" w:lineRule="auto"/>
              <w:jc w:val="center"/>
              <w:rPr>
                <w:sz w:val="28"/>
                <w:szCs w:val="28"/>
              </w:rPr>
            </w:pPr>
            <w:r w:rsidRPr="00A60C5F">
              <w:rPr>
                <w:sz w:val="28"/>
                <w:szCs w:val="28"/>
              </w:rPr>
              <w:t>1.000</w:t>
            </w:r>
          </w:p>
        </w:tc>
      </w:tr>
      <w:tr w:rsidR="00F60ABB" w:rsidRPr="00A60C5F" w14:paraId="375F0D4F" w14:textId="77777777" w:rsidTr="00F60ABB">
        <w:tc>
          <w:tcPr>
            <w:tcW w:w="392" w:type="pct"/>
            <w:shd w:val="clear" w:color="auto" w:fill="auto"/>
            <w:tcMar>
              <w:top w:w="21" w:type="dxa"/>
              <w:left w:w="21" w:type="dxa"/>
              <w:bottom w:w="21" w:type="dxa"/>
              <w:right w:w="21" w:type="dxa"/>
            </w:tcMar>
            <w:vAlign w:val="center"/>
          </w:tcPr>
          <w:p w14:paraId="6EAC979E" w14:textId="77777777" w:rsidR="00DD61AB" w:rsidRPr="00A60C5F" w:rsidRDefault="00DD61AB" w:rsidP="00DD61AB">
            <w:pPr>
              <w:spacing w:before="120" w:after="120" w:line="264" w:lineRule="auto"/>
              <w:jc w:val="center"/>
              <w:rPr>
                <w:sz w:val="28"/>
                <w:szCs w:val="28"/>
              </w:rPr>
            </w:pPr>
            <w:r w:rsidRPr="00A60C5F">
              <w:rPr>
                <w:sz w:val="28"/>
                <w:szCs w:val="28"/>
              </w:rPr>
              <w:lastRenderedPageBreak/>
              <w:t>2</w:t>
            </w:r>
          </w:p>
        </w:tc>
        <w:tc>
          <w:tcPr>
            <w:tcW w:w="2039" w:type="pct"/>
            <w:shd w:val="clear" w:color="auto" w:fill="auto"/>
            <w:tcMar>
              <w:top w:w="21" w:type="dxa"/>
              <w:left w:w="21" w:type="dxa"/>
              <w:bottom w:w="21" w:type="dxa"/>
              <w:right w:w="21" w:type="dxa"/>
            </w:tcMar>
            <w:vAlign w:val="center"/>
          </w:tcPr>
          <w:p w14:paraId="6E41818E" w14:textId="77777777" w:rsidR="00DD61AB" w:rsidRPr="00A60C5F" w:rsidRDefault="00DD61AB" w:rsidP="00DD61AB">
            <w:pPr>
              <w:spacing w:before="120" w:after="120" w:line="264" w:lineRule="auto"/>
              <w:jc w:val="both"/>
              <w:rPr>
                <w:sz w:val="28"/>
                <w:szCs w:val="28"/>
              </w:rPr>
            </w:pPr>
            <w:r w:rsidRPr="00A60C5F">
              <w:rPr>
                <w:sz w:val="28"/>
                <w:szCs w:val="28"/>
              </w:rPr>
              <w:t>Thành viên tổ thẩm định</w:t>
            </w:r>
          </w:p>
        </w:tc>
        <w:tc>
          <w:tcPr>
            <w:tcW w:w="1044" w:type="pct"/>
            <w:shd w:val="clear" w:color="auto" w:fill="auto"/>
            <w:tcMar>
              <w:top w:w="21" w:type="dxa"/>
              <w:left w:w="21" w:type="dxa"/>
              <w:bottom w:w="21" w:type="dxa"/>
              <w:right w:w="21" w:type="dxa"/>
            </w:tcMar>
            <w:vAlign w:val="center"/>
          </w:tcPr>
          <w:p w14:paraId="621419D9" w14:textId="77777777" w:rsidR="00DD61AB" w:rsidRPr="00A60C5F" w:rsidRDefault="00DD61AB" w:rsidP="00DD61AB">
            <w:pPr>
              <w:spacing w:before="120" w:after="120" w:line="264" w:lineRule="auto"/>
              <w:jc w:val="center"/>
              <w:rPr>
                <w:sz w:val="28"/>
                <w:szCs w:val="28"/>
              </w:rPr>
            </w:pPr>
            <w:r w:rsidRPr="00A60C5F">
              <w:rPr>
                <w:sz w:val="28"/>
                <w:szCs w:val="28"/>
              </w:rPr>
              <w:t>Nhiệm vụ</w:t>
            </w:r>
          </w:p>
        </w:tc>
        <w:tc>
          <w:tcPr>
            <w:tcW w:w="1525" w:type="pct"/>
            <w:shd w:val="clear" w:color="auto" w:fill="auto"/>
            <w:tcMar>
              <w:top w:w="21" w:type="dxa"/>
              <w:left w:w="21" w:type="dxa"/>
              <w:bottom w:w="21" w:type="dxa"/>
              <w:right w:w="21" w:type="dxa"/>
            </w:tcMar>
            <w:vAlign w:val="center"/>
          </w:tcPr>
          <w:p w14:paraId="38307E03" w14:textId="77777777" w:rsidR="00DD61AB" w:rsidRPr="00A60C5F" w:rsidRDefault="00DD61AB" w:rsidP="00DD61AB">
            <w:pPr>
              <w:spacing w:before="120" w:after="120" w:line="264" w:lineRule="auto"/>
              <w:jc w:val="center"/>
              <w:rPr>
                <w:sz w:val="28"/>
                <w:szCs w:val="28"/>
              </w:rPr>
            </w:pPr>
            <w:r w:rsidRPr="00A60C5F">
              <w:rPr>
                <w:sz w:val="28"/>
                <w:szCs w:val="28"/>
              </w:rPr>
              <w:t>700</w:t>
            </w:r>
          </w:p>
        </w:tc>
      </w:tr>
      <w:tr w:rsidR="00F60ABB" w:rsidRPr="00A60C5F" w14:paraId="0818894F" w14:textId="77777777" w:rsidTr="00F60ABB">
        <w:tc>
          <w:tcPr>
            <w:tcW w:w="392" w:type="pct"/>
            <w:shd w:val="clear" w:color="auto" w:fill="auto"/>
            <w:tcMar>
              <w:top w:w="21" w:type="dxa"/>
              <w:left w:w="21" w:type="dxa"/>
              <w:bottom w:w="21" w:type="dxa"/>
              <w:right w:w="21" w:type="dxa"/>
            </w:tcMar>
            <w:vAlign w:val="center"/>
          </w:tcPr>
          <w:p w14:paraId="548E6FD5" w14:textId="77777777" w:rsidR="00DD61AB" w:rsidRPr="00A60C5F" w:rsidRDefault="00DD61AB" w:rsidP="00DD61AB">
            <w:pPr>
              <w:spacing w:before="120" w:after="120" w:line="264" w:lineRule="auto"/>
              <w:jc w:val="center"/>
              <w:rPr>
                <w:sz w:val="28"/>
                <w:szCs w:val="28"/>
              </w:rPr>
            </w:pPr>
            <w:r w:rsidRPr="00A60C5F">
              <w:rPr>
                <w:sz w:val="28"/>
                <w:szCs w:val="28"/>
              </w:rPr>
              <w:t>3</w:t>
            </w:r>
          </w:p>
        </w:tc>
        <w:tc>
          <w:tcPr>
            <w:tcW w:w="2039" w:type="pct"/>
            <w:shd w:val="clear" w:color="auto" w:fill="auto"/>
            <w:tcMar>
              <w:top w:w="21" w:type="dxa"/>
              <w:left w:w="21" w:type="dxa"/>
              <w:bottom w:w="21" w:type="dxa"/>
              <w:right w:w="21" w:type="dxa"/>
            </w:tcMar>
            <w:vAlign w:val="center"/>
          </w:tcPr>
          <w:p w14:paraId="776519F0" w14:textId="77777777" w:rsidR="00DD61AB" w:rsidRPr="00A60C5F" w:rsidRDefault="00DD61AB" w:rsidP="00DD61AB">
            <w:pPr>
              <w:spacing w:before="120" w:after="120" w:line="264" w:lineRule="auto"/>
              <w:jc w:val="both"/>
              <w:rPr>
                <w:sz w:val="28"/>
                <w:szCs w:val="28"/>
              </w:rPr>
            </w:pPr>
            <w:r w:rsidRPr="00A60C5F">
              <w:rPr>
                <w:sz w:val="28"/>
                <w:szCs w:val="28"/>
              </w:rPr>
              <w:t>Thư ký hành chính</w:t>
            </w:r>
          </w:p>
        </w:tc>
        <w:tc>
          <w:tcPr>
            <w:tcW w:w="1044" w:type="pct"/>
            <w:shd w:val="clear" w:color="auto" w:fill="auto"/>
            <w:tcMar>
              <w:top w:w="21" w:type="dxa"/>
              <w:left w:w="21" w:type="dxa"/>
              <w:bottom w:w="21" w:type="dxa"/>
              <w:right w:w="21" w:type="dxa"/>
            </w:tcMar>
            <w:vAlign w:val="center"/>
          </w:tcPr>
          <w:p w14:paraId="7CA10B0A" w14:textId="77777777" w:rsidR="00DD61AB" w:rsidRPr="00A60C5F" w:rsidRDefault="00DD61AB" w:rsidP="00DD61AB">
            <w:pPr>
              <w:spacing w:before="120" w:after="120" w:line="264" w:lineRule="auto"/>
              <w:jc w:val="center"/>
              <w:rPr>
                <w:sz w:val="28"/>
                <w:szCs w:val="28"/>
              </w:rPr>
            </w:pPr>
            <w:r w:rsidRPr="00A60C5F">
              <w:rPr>
                <w:sz w:val="28"/>
                <w:szCs w:val="28"/>
              </w:rPr>
              <w:t>Nhiệm vụ</w:t>
            </w:r>
          </w:p>
        </w:tc>
        <w:tc>
          <w:tcPr>
            <w:tcW w:w="1525" w:type="pct"/>
            <w:shd w:val="clear" w:color="auto" w:fill="auto"/>
            <w:tcMar>
              <w:top w:w="21" w:type="dxa"/>
              <w:left w:w="21" w:type="dxa"/>
              <w:bottom w:w="21" w:type="dxa"/>
              <w:right w:w="21" w:type="dxa"/>
            </w:tcMar>
            <w:vAlign w:val="center"/>
          </w:tcPr>
          <w:p w14:paraId="49316C67" w14:textId="77777777" w:rsidR="00DD61AB" w:rsidRPr="00A60C5F" w:rsidRDefault="00DD61AB" w:rsidP="00DD61AB">
            <w:pPr>
              <w:spacing w:before="120" w:after="120" w:line="264" w:lineRule="auto"/>
              <w:jc w:val="center"/>
              <w:rPr>
                <w:sz w:val="28"/>
                <w:szCs w:val="28"/>
              </w:rPr>
            </w:pPr>
            <w:r w:rsidRPr="00A60C5F">
              <w:rPr>
                <w:sz w:val="28"/>
                <w:szCs w:val="28"/>
              </w:rPr>
              <w:t>300</w:t>
            </w:r>
          </w:p>
        </w:tc>
      </w:tr>
      <w:tr w:rsidR="00F60ABB" w:rsidRPr="00A60C5F" w14:paraId="7859E80D" w14:textId="77777777" w:rsidTr="00F60ABB">
        <w:tc>
          <w:tcPr>
            <w:tcW w:w="392" w:type="pct"/>
            <w:shd w:val="clear" w:color="auto" w:fill="auto"/>
            <w:tcMar>
              <w:top w:w="21" w:type="dxa"/>
              <w:left w:w="21" w:type="dxa"/>
              <w:bottom w:w="21" w:type="dxa"/>
              <w:right w:w="21" w:type="dxa"/>
            </w:tcMar>
            <w:vAlign w:val="center"/>
          </w:tcPr>
          <w:p w14:paraId="30583FAB" w14:textId="77777777" w:rsidR="00DD61AB" w:rsidRPr="00A60C5F" w:rsidRDefault="00DD61AB" w:rsidP="00DD61AB">
            <w:pPr>
              <w:spacing w:before="120" w:after="120" w:line="264" w:lineRule="auto"/>
              <w:jc w:val="center"/>
              <w:rPr>
                <w:sz w:val="28"/>
                <w:szCs w:val="28"/>
              </w:rPr>
            </w:pPr>
            <w:r w:rsidRPr="00A60C5F">
              <w:rPr>
                <w:sz w:val="28"/>
                <w:szCs w:val="28"/>
              </w:rPr>
              <w:t>4</w:t>
            </w:r>
          </w:p>
        </w:tc>
        <w:tc>
          <w:tcPr>
            <w:tcW w:w="2039" w:type="pct"/>
            <w:shd w:val="clear" w:color="auto" w:fill="auto"/>
            <w:tcMar>
              <w:top w:w="21" w:type="dxa"/>
              <w:left w:w="21" w:type="dxa"/>
              <w:bottom w:w="21" w:type="dxa"/>
              <w:right w:w="21" w:type="dxa"/>
            </w:tcMar>
            <w:vAlign w:val="center"/>
          </w:tcPr>
          <w:p w14:paraId="448F3DCA" w14:textId="77777777" w:rsidR="00DD61AB" w:rsidRPr="00A60C5F" w:rsidRDefault="00DD61AB" w:rsidP="00DD61AB">
            <w:pPr>
              <w:spacing w:before="120" w:after="120" w:line="264" w:lineRule="auto"/>
              <w:jc w:val="both"/>
              <w:rPr>
                <w:sz w:val="28"/>
                <w:szCs w:val="28"/>
              </w:rPr>
            </w:pPr>
            <w:r w:rsidRPr="00A60C5F">
              <w:rPr>
                <w:sz w:val="28"/>
                <w:szCs w:val="28"/>
              </w:rPr>
              <w:t>Đại biểu được mời tham dự</w:t>
            </w:r>
          </w:p>
        </w:tc>
        <w:tc>
          <w:tcPr>
            <w:tcW w:w="1044" w:type="pct"/>
            <w:shd w:val="clear" w:color="auto" w:fill="auto"/>
            <w:tcMar>
              <w:top w:w="21" w:type="dxa"/>
              <w:left w:w="21" w:type="dxa"/>
              <w:bottom w:w="21" w:type="dxa"/>
              <w:right w:w="21" w:type="dxa"/>
            </w:tcMar>
            <w:vAlign w:val="center"/>
          </w:tcPr>
          <w:p w14:paraId="464250D7" w14:textId="77777777" w:rsidR="00DD61AB" w:rsidRPr="00A60C5F" w:rsidRDefault="00DD61AB" w:rsidP="00DD61AB">
            <w:pPr>
              <w:spacing w:before="120" w:after="120" w:line="264" w:lineRule="auto"/>
              <w:jc w:val="center"/>
              <w:rPr>
                <w:sz w:val="28"/>
                <w:szCs w:val="28"/>
              </w:rPr>
            </w:pPr>
            <w:r w:rsidRPr="00A60C5F">
              <w:rPr>
                <w:sz w:val="28"/>
                <w:szCs w:val="28"/>
              </w:rPr>
              <w:t>Nhiệm vụ</w:t>
            </w:r>
          </w:p>
        </w:tc>
        <w:tc>
          <w:tcPr>
            <w:tcW w:w="1525" w:type="pct"/>
            <w:shd w:val="clear" w:color="auto" w:fill="auto"/>
            <w:tcMar>
              <w:top w:w="21" w:type="dxa"/>
              <w:left w:w="21" w:type="dxa"/>
              <w:bottom w:w="21" w:type="dxa"/>
              <w:right w:w="21" w:type="dxa"/>
            </w:tcMar>
            <w:vAlign w:val="center"/>
          </w:tcPr>
          <w:p w14:paraId="79241581" w14:textId="77777777" w:rsidR="00DD61AB" w:rsidRPr="00A60C5F" w:rsidRDefault="00DD61AB" w:rsidP="00DD61AB">
            <w:pPr>
              <w:spacing w:before="120" w:after="120" w:line="264" w:lineRule="auto"/>
              <w:jc w:val="center"/>
              <w:rPr>
                <w:sz w:val="28"/>
                <w:szCs w:val="28"/>
              </w:rPr>
            </w:pPr>
            <w:r w:rsidRPr="00A60C5F">
              <w:rPr>
                <w:sz w:val="28"/>
                <w:szCs w:val="28"/>
              </w:rPr>
              <w:t>200</w:t>
            </w:r>
          </w:p>
        </w:tc>
      </w:tr>
    </w:tbl>
    <w:p w14:paraId="15446649" w14:textId="10D13240" w:rsidR="00DD61AB" w:rsidRDefault="00750B43" w:rsidP="00890916">
      <w:pPr>
        <w:tabs>
          <w:tab w:val="left" w:pos="810"/>
        </w:tabs>
        <w:spacing w:before="120" w:after="120" w:line="276" w:lineRule="auto"/>
        <w:ind w:firstLine="547"/>
        <w:jc w:val="both"/>
        <w:rPr>
          <w:sz w:val="28"/>
          <w:szCs w:val="28"/>
        </w:rPr>
      </w:pPr>
      <w:r>
        <w:rPr>
          <w:sz w:val="28"/>
          <w:szCs w:val="28"/>
        </w:rPr>
        <w:t xml:space="preserve">b) </w:t>
      </w:r>
      <w:r w:rsidRPr="00A60C5F">
        <w:rPr>
          <w:sz w:val="28"/>
          <w:szCs w:val="28"/>
        </w:rPr>
        <w:t>Chi hậu cần phục vụ hoạt động của tổ thẩm định (thuê hội trường, văn phòng phẩm, nước uống, công tác phí và các chi phí cần thiết khác) được xây dựng dự toán trên cơ sở dự kiến khối lượng công việc và các quy định của pháp luật</w:t>
      </w:r>
      <w:r>
        <w:rPr>
          <w:sz w:val="28"/>
          <w:szCs w:val="28"/>
        </w:rPr>
        <w:t>.</w:t>
      </w:r>
    </w:p>
    <w:p w14:paraId="589A3669" w14:textId="77777777" w:rsidR="001F5A3B" w:rsidRPr="00A60C5F" w:rsidRDefault="001F5A3B" w:rsidP="00890916">
      <w:pPr>
        <w:spacing w:before="120" w:after="120" w:line="276" w:lineRule="auto"/>
        <w:ind w:firstLine="547"/>
        <w:jc w:val="both"/>
        <w:rPr>
          <w:sz w:val="28"/>
          <w:szCs w:val="28"/>
        </w:rPr>
      </w:pPr>
      <w:r w:rsidRPr="00A60C5F">
        <w:rPr>
          <w:sz w:val="28"/>
          <w:szCs w:val="28"/>
        </w:rPr>
        <w:t>3. Chi thông báo kế hoạch tài trợ, đặt hàng nhiệm vụ khoa học, công nghệ và đổi mới sáng tạo trên các phương tiện truyền thông (báo giấy, báo hình, báo điện tử và các phương tiện truyền thông khác): Thực hiện theo quy định pháp luật về chế độ và định mức chi tiêu ngân sách nhà nước (nếu có), thanh toán theo hợp đồng và thực tế phát sinh trong phạm vi dự toán được cấp có thẩm quyền phê duyệt, đảm bảo tiết kiệm, hiệu quả.</w:t>
      </w:r>
    </w:p>
    <w:p w14:paraId="2F2630FD" w14:textId="19C77AA6" w:rsidR="001F5A3B" w:rsidRPr="00A60C5F" w:rsidRDefault="001F5A3B" w:rsidP="00890916">
      <w:pPr>
        <w:spacing w:before="120" w:after="120" w:line="276" w:lineRule="auto"/>
        <w:ind w:firstLine="547"/>
        <w:jc w:val="both"/>
        <w:rPr>
          <w:sz w:val="28"/>
          <w:szCs w:val="28"/>
        </w:rPr>
      </w:pPr>
      <w:r w:rsidRPr="00A60C5F">
        <w:rPr>
          <w:sz w:val="28"/>
          <w:szCs w:val="28"/>
        </w:rPr>
        <w:t>4. Dự toán chi công tác kiểm tra đánh giá trong kỳ và đánh giá cuối kỳ, đánh giá hiệu quả đầu ra của nhiệm vụ khoa học, công nghệ và đổi mới sáng tạo; đánh giá tác động của kết quả thực hiện nhiệm vụ phát triển công nghệ, đổi mới sáng tạo; kiểm tra, đánh giá sau khi giao quyền sở hữu, quyền sử dụng kết quả nhiệm vụ khoa học, công nghệ và đổi mới sáng tạo</w:t>
      </w:r>
      <w:r w:rsidR="00696797">
        <w:rPr>
          <w:sz w:val="28"/>
          <w:szCs w:val="28"/>
        </w:rPr>
        <w:t>.</w:t>
      </w:r>
    </w:p>
    <w:p w14:paraId="67322164" w14:textId="25846ECE" w:rsidR="001F5A3B" w:rsidRPr="00696797" w:rsidRDefault="001F5A3B" w:rsidP="00890916">
      <w:pPr>
        <w:spacing w:before="120" w:after="120" w:line="276" w:lineRule="auto"/>
        <w:ind w:firstLine="547"/>
        <w:jc w:val="both"/>
        <w:rPr>
          <w:color w:val="FF0000"/>
          <w:sz w:val="28"/>
          <w:szCs w:val="28"/>
        </w:rPr>
      </w:pPr>
      <w:r w:rsidRPr="00696797">
        <w:rPr>
          <w:color w:val="FF0000"/>
          <w:sz w:val="28"/>
          <w:szCs w:val="28"/>
        </w:rPr>
        <w:t xml:space="preserve">a) Dự toán chi công tác phí cho đoàn kiểm tra đánh giá được xây dựng theo quy định tại </w:t>
      </w:r>
      <w:r w:rsidR="00696797" w:rsidRPr="00696797">
        <w:rPr>
          <w:color w:val="4472C4" w:themeColor="accent1"/>
          <w:sz w:val="28"/>
          <w:szCs w:val="28"/>
        </w:rPr>
        <w:t>Nghị quyết số 04/2025/NQ-HĐND</w:t>
      </w:r>
      <w:r w:rsidR="00696797" w:rsidRPr="00696797">
        <w:rPr>
          <w:bCs/>
          <w:iCs/>
          <w:color w:val="4472C4" w:themeColor="accent1"/>
          <w:spacing w:val="6"/>
          <w:sz w:val="28"/>
          <w:szCs w:val="28"/>
        </w:rPr>
        <w:t xml:space="preserve"> ngày 03 tháng 10 năm 2025 của Hội đồng nhân dân tỉnh Quy định mức chi chế độ công tác phí, chế độ chi hội nghị trên địa bàn tỉnh Đồng Nai</w:t>
      </w:r>
      <w:r w:rsidR="00696797">
        <w:rPr>
          <w:color w:val="FF0000"/>
          <w:sz w:val="28"/>
          <w:szCs w:val="28"/>
        </w:rPr>
        <w:t xml:space="preserve">; </w:t>
      </w:r>
      <w:r w:rsidRPr="00696797">
        <w:rPr>
          <w:color w:val="FF0000"/>
          <w:sz w:val="28"/>
          <w:szCs w:val="28"/>
        </w:rPr>
        <w:t xml:space="preserve">Thông tư số </w:t>
      </w:r>
      <w:bookmarkStart w:id="16" w:name="tvpllink_iokckdmoej"/>
      <w:r w:rsidRPr="00696797">
        <w:rPr>
          <w:color w:val="FF0000"/>
          <w:sz w:val="28"/>
          <w:szCs w:val="28"/>
        </w:rPr>
        <w:t>40/2017/TT-BTC</w:t>
      </w:r>
      <w:bookmarkEnd w:id="16"/>
      <w:r w:rsidRPr="00696797">
        <w:rPr>
          <w:color w:val="FF0000"/>
          <w:sz w:val="28"/>
          <w:szCs w:val="28"/>
        </w:rPr>
        <w:t xml:space="preserve"> ngày 28 tháng 4 năm 2017 của Bộ trưởng Bộ Tài chính quy định chế độ công tác phí, chế độ chi hội nghị, được sửa đổi bổ sung bởi Thông tư số </w:t>
      </w:r>
      <w:bookmarkStart w:id="17" w:name="tvpllink_ovvvdotqhz"/>
      <w:r w:rsidRPr="00696797">
        <w:rPr>
          <w:color w:val="FF0000"/>
          <w:sz w:val="28"/>
          <w:szCs w:val="28"/>
        </w:rPr>
        <w:t>12/2025/TT-BTC</w:t>
      </w:r>
      <w:bookmarkEnd w:id="17"/>
      <w:r w:rsidRPr="00696797">
        <w:rPr>
          <w:color w:val="FF0000"/>
          <w:sz w:val="28"/>
          <w:szCs w:val="28"/>
        </w:rPr>
        <w:t xml:space="preserve"> ngày 19 tháng 3 năm 2025 của Bộ trưởng Bộ Tài chính;</w:t>
      </w:r>
    </w:p>
    <w:p w14:paraId="0937DE1C" w14:textId="77777777" w:rsidR="001F5A3B" w:rsidRPr="00A60C5F" w:rsidRDefault="001F5A3B" w:rsidP="00890916">
      <w:pPr>
        <w:spacing w:before="120" w:after="120" w:line="276" w:lineRule="auto"/>
        <w:ind w:firstLine="547"/>
        <w:jc w:val="both"/>
        <w:rPr>
          <w:sz w:val="28"/>
          <w:szCs w:val="28"/>
        </w:rPr>
      </w:pPr>
      <w:r w:rsidRPr="00A60C5F">
        <w:rPr>
          <w:sz w:val="28"/>
          <w:szCs w:val="28"/>
        </w:rPr>
        <w:t xml:space="preserve">b) Dự toán chi tiền thù lao cho thành viên/chuyên gia tư vấn độc lập của đoàn đánh giá trong kỳ nhiệm vụ khoa học, công nghệ được </w:t>
      </w:r>
      <w:r w:rsidRPr="00696797">
        <w:rPr>
          <w:color w:val="FF0000"/>
          <w:sz w:val="28"/>
          <w:szCs w:val="28"/>
        </w:rPr>
        <w:t xml:space="preserve">áp dụng tối đa bằng 50% </w:t>
      </w:r>
      <w:r w:rsidRPr="00A60C5F">
        <w:rPr>
          <w:sz w:val="28"/>
          <w:szCs w:val="28"/>
        </w:rPr>
        <w:t xml:space="preserve">mức chi của Hội đồng xét tài trợ, đặt hàng nhiệm vụ khoa học, công nghệ và đổi mới sáng tạo quy định </w:t>
      </w:r>
      <w:r w:rsidRPr="00696797">
        <w:rPr>
          <w:color w:val="FF0000"/>
          <w:sz w:val="28"/>
          <w:szCs w:val="28"/>
        </w:rPr>
        <w:t>tại mục 1 và mục 5 điểm a khoản 1 Điều này</w:t>
      </w:r>
      <w:r w:rsidRPr="00A60C5F">
        <w:rPr>
          <w:sz w:val="28"/>
          <w:szCs w:val="28"/>
        </w:rPr>
        <w:t>;</w:t>
      </w:r>
    </w:p>
    <w:p w14:paraId="3F509769" w14:textId="77777777" w:rsidR="001F5A3B" w:rsidRPr="00A60C5F" w:rsidRDefault="001F5A3B" w:rsidP="00890916">
      <w:pPr>
        <w:spacing w:before="120" w:after="120" w:line="276" w:lineRule="auto"/>
        <w:ind w:firstLine="547"/>
        <w:jc w:val="both"/>
        <w:rPr>
          <w:sz w:val="28"/>
          <w:szCs w:val="28"/>
        </w:rPr>
      </w:pPr>
      <w:r w:rsidRPr="00A60C5F">
        <w:rPr>
          <w:sz w:val="28"/>
          <w:szCs w:val="28"/>
        </w:rPr>
        <w:t xml:space="preserve">c) Dự toán chi tiền thù lao cho thành viên/chuyên gia tư vấn độc lập của đoàn đánh giá cuối kỳ, đánh giá hiệu quả đầu ra của nhiệm vụ khoa học, công nghệ và đổi mới sáng tạo; đánh giá tác động của kết quả thực hiện nhiệm vụ phát triển công nghệ, đổi mới sáng tạo được </w:t>
      </w:r>
      <w:r w:rsidRPr="00696797">
        <w:rPr>
          <w:color w:val="FF0000"/>
          <w:sz w:val="28"/>
          <w:szCs w:val="28"/>
        </w:rPr>
        <w:t xml:space="preserve">áp dụng tối đa bằng 100% </w:t>
      </w:r>
      <w:r w:rsidRPr="00A60C5F">
        <w:rPr>
          <w:sz w:val="28"/>
          <w:szCs w:val="28"/>
        </w:rPr>
        <w:t>mức chi của Hội đồng xét tài trợ, đặt hàng nhiệm vụ khoa học, công nghệ và đổi mới sáng tạo quy định tại mục 1 và mục 5 điểm a khoản 1 Điều này.</w:t>
      </w:r>
    </w:p>
    <w:p w14:paraId="11CD7CAD" w14:textId="77777777" w:rsidR="001F5A3B" w:rsidRPr="00A60C5F" w:rsidRDefault="001F5A3B" w:rsidP="00890916">
      <w:pPr>
        <w:spacing w:before="120" w:after="120" w:line="276" w:lineRule="auto"/>
        <w:ind w:firstLine="547"/>
        <w:jc w:val="both"/>
        <w:rPr>
          <w:sz w:val="28"/>
          <w:szCs w:val="28"/>
        </w:rPr>
      </w:pPr>
      <w:r w:rsidRPr="00A60C5F">
        <w:rPr>
          <w:sz w:val="28"/>
          <w:szCs w:val="28"/>
        </w:rPr>
        <w:lastRenderedPageBreak/>
        <w:t xml:space="preserve">5. Chi hội nghị, hội thảo khoa học phục vụ công tác quản lý nhiệm vụ, chương trình khoa học và công nghệ (nếu có) thực hiện theo quy định đối với dự toán chi hội nghị, hội thảo khoa học, diễn đàn, tọa đàm khoa học phục vụ thực hiện nhiệm vụ khoa học, công nghệ và đổi mới sáng tạo quy định tại </w:t>
      </w:r>
      <w:bookmarkStart w:id="18" w:name="dc_4"/>
      <w:r w:rsidRPr="00A60C5F">
        <w:rPr>
          <w:sz w:val="28"/>
          <w:szCs w:val="28"/>
        </w:rPr>
        <w:t>khoản 3 Điều 17 Thông tư số 39/2025/TT-BKHCN</w:t>
      </w:r>
      <w:bookmarkEnd w:id="18"/>
      <w:r w:rsidRPr="00A60C5F">
        <w:rPr>
          <w:sz w:val="28"/>
          <w:szCs w:val="28"/>
        </w:rPr>
        <w:t xml:space="preserve"> ngày 30 tháng 11 năm 2025 của Bộ trưởng Bộ Khoa học và Công nghệ quy định lập dự toán, quản lý sử dụng và quyết toán kinh phí ngân sách nhà nước một số nội dung chi ngân sách nhà nước thực hiện nhiệm vụ khoa học, công nghệ và đổi mới sáng tạo.</w:t>
      </w:r>
    </w:p>
    <w:p w14:paraId="1334B10C" w14:textId="11D00477" w:rsidR="001F5A3B" w:rsidRPr="00A60C5F" w:rsidRDefault="001F5A3B" w:rsidP="00890916">
      <w:pPr>
        <w:spacing w:before="120" w:after="120" w:line="276" w:lineRule="auto"/>
        <w:ind w:firstLine="547"/>
        <w:jc w:val="both"/>
        <w:rPr>
          <w:sz w:val="28"/>
          <w:szCs w:val="28"/>
        </w:rPr>
      </w:pPr>
      <w:r w:rsidRPr="00A60C5F">
        <w:rPr>
          <w:sz w:val="28"/>
          <w:szCs w:val="28"/>
        </w:rPr>
        <w:t>6. Đối với chương trình khoa học, công nghệ và đổi mới sáng tạo của Ủy ban nhân dân tỉnh có thành lập các Ban Chủ nhiệm chương trình: Mức chi thù lao các cuộc họp định kỳ và đột xuất của Ban Chủ nhiệm chương trình áp dụng theo mức chi cho thành viên hội đồng của Hội đồng tư vấn đánh giá khả năng ứng dụng kết quả nhiệm vụ khoa học, công nghệ và đổi mới sáng tạo quy định tại mục 3 điểm a khoản 1 Điều này. Mức chi cho các hoạt động của Ban Chủ nhiệm chương trình thực hiện theo quy định của pháp luật.</w:t>
      </w:r>
    </w:p>
    <w:p w14:paraId="6778D5AD" w14:textId="39E94618" w:rsidR="001F5A3B" w:rsidRPr="00A60C5F" w:rsidRDefault="001F5A3B" w:rsidP="00890916">
      <w:pPr>
        <w:spacing w:before="120" w:after="120" w:line="276" w:lineRule="auto"/>
        <w:ind w:firstLine="547"/>
        <w:jc w:val="both"/>
        <w:rPr>
          <w:sz w:val="28"/>
          <w:szCs w:val="28"/>
        </w:rPr>
      </w:pPr>
      <w:r w:rsidRPr="00A60C5F">
        <w:rPr>
          <w:sz w:val="28"/>
          <w:szCs w:val="28"/>
        </w:rPr>
        <w:t xml:space="preserve">7. Các khoản chi cho đánh giá tổ chức khoa học và công nghệ công lập, chương trình, chính sách, chiến lược, kế hoạch quy định </w:t>
      </w:r>
      <w:r w:rsidRPr="00643576">
        <w:rPr>
          <w:color w:val="FF0000"/>
          <w:sz w:val="28"/>
          <w:szCs w:val="28"/>
        </w:rPr>
        <w:t xml:space="preserve">tại </w:t>
      </w:r>
      <w:bookmarkStart w:id="19" w:name="tc_2"/>
      <w:r w:rsidRPr="00643576">
        <w:rPr>
          <w:color w:val="FF0000"/>
          <w:sz w:val="28"/>
          <w:szCs w:val="28"/>
        </w:rPr>
        <w:t xml:space="preserve">khoản 5 Điều 3 Thông tư </w:t>
      </w:r>
      <w:bookmarkEnd w:id="19"/>
      <w:r w:rsidR="00643576" w:rsidRPr="00643576">
        <w:rPr>
          <w:color w:val="FF0000"/>
          <w:sz w:val="28"/>
          <w:szCs w:val="28"/>
        </w:rPr>
        <w:t>38/2025/TT-BKHCN</w:t>
      </w:r>
      <w:r w:rsidRPr="00643576">
        <w:rPr>
          <w:color w:val="FF0000"/>
          <w:sz w:val="28"/>
          <w:szCs w:val="28"/>
        </w:rPr>
        <w:t xml:space="preserve"> </w:t>
      </w:r>
      <w:r w:rsidRPr="00A60C5F">
        <w:rPr>
          <w:sz w:val="28"/>
          <w:szCs w:val="28"/>
        </w:rPr>
        <w:t>được xây dựng dự toán trên cơ sở dự kiến khối lượng công việc và các quy định của pháp luật có liên quan, bao gồm:</w:t>
      </w:r>
    </w:p>
    <w:p w14:paraId="21AA3028" w14:textId="77777777" w:rsidR="001F5A3B" w:rsidRPr="00A60C5F" w:rsidRDefault="001F5A3B" w:rsidP="00890916">
      <w:pPr>
        <w:spacing w:before="120" w:after="120" w:line="276" w:lineRule="auto"/>
        <w:ind w:firstLine="547"/>
        <w:jc w:val="both"/>
        <w:rPr>
          <w:sz w:val="28"/>
          <w:szCs w:val="28"/>
        </w:rPr>
      </w:pPr>
      <w:r w:rsidRPr="00A60C5F">
        <w:rPr>
          <w:sz w:val="28"/>
          <w:szCs w:val="28"/>
        </w:rPr>
        <w:t>a) Chi quản lý, lập kế hoạch và đánh giá;</w:t>
      </w:r>
    </w:p>
    <w:p w14:paraId="19062E00" w14:textId="77777777" w:rsidR="001F5A3B" w:rsidRPr="00A60C5F" w:rsidRDefault="001F5A3B" w:rsidP="00890916">
      <w:pPr>
        <w:spacing w:before="120" w:after="120" w:line="276" w:lineRule="auto"/>
        <w:ind w:firstLine="547"/>
        <w:jc w:val="both"/>
        <w:rPr>
          <w:sz w:val="28"/>
          <w:szCs w:val="28"/>
        </w:rPr>
      </w:pPr>
      <w:r w:rsidRPr="00A60C5F">
        <w:rPr>
          <w:sz w:val="28"/>
          <w:szCs w:val="28"/>
        </w:rPr>
        <w:t>b) Chi xây dựng bộ tiêu chí, biểu mẫu, công cụ thu thập dữ liệu;</w:t>
      </w:r>
    </w:p>
    <w:p w14:paraId="1D1F63B5" w14:textId="77777777" w:rsidR="001F5A3B" w:rsidRPr="00A60C5F" w:rsidRDefault="001F5A3B" w:rsidP="00890916">
      <w:pPr>
        <w:spacing w:before="120" w:after="120" w:line="276" w:lineRule="auto"/>
        <w:ind w:firstLine="547"/>
        <w:jc w:val="both"/>
        <w:rPr>
          <w:sz w:val="28"/>
          <w:szCs w:val="28"/>
        </w:rPr>
      </w:pPr>
      <w:r w:rsidRPr="00A60C5F">
        <w:rPr>
          <w:sz w:val="28"/>
          <w:szCs w:val="28"/>
        </w:rPr>
        <w:t>c) Chi xây dựng, cập nhật, vận hành hệ thống thông tin, cơ sở dữ liệu phục vụ công tác đánh giá;</w:t>
      </w:r>
    </w:p>
    <w:p w14:paraId="5840E8F3" w14:textId="77777777" w:rsidR="001F5A3B" w:rsidRPr="00A60C5F" w:rsidRDefault="001F5A3B" w:rsidP="00890916">
      <w:pPr>
        <w:spacing w:before="120" w:after="120" w:line="276" w:lineRule="auto"/>
        <w:ind w:firstLine="547"/>
        <w:jc w:val="both"/>
        <w:rPr>
          <w:sz w:val="28"/>
          <w:szCs w:val="28"/>
        </w:rPr>
      </w:pPr>
      <w:r w:rsidRPr="00A60C5F">
        <w:rPr>
          <w:sz w:val="28"/>
          <w:szCs w:val="28"/>
        </w:rPr>
        <w:t>d) Chi tổng hợp, phân tích, thống kê kết quả đánh giá;</w:t>
      </w:r>
    </w:p>
    <w:p w14:paraId="4D359615" w14:textId="77777777" w:rsidR="001F5A3B" w:rsidRPr="00A60C5F" w:rsidRDefault="001F5A3B" w:rsidP="00890916">
      <w:pPr>
        <w:spacing w:before="120" w:after="120" w:line="276" w:lineRule="auto"/>
        <w:ind w:firstLine="547"/>
        <w:jc w:val="both"/>
        <w:rPr>
          <w:sz w:val="28"/>
          <w:szCs w:val="28"/>
        </w:rPr>
      </w:pPr>
      <w:r w:rsidRPr="00A60C5F">
        <w:rPr>
          <w:sz w:val="28"/>
          <w:szCs w:val="28"/>
        </w:rPr>
        <w:t>đ) Chi đào tạo, bồi dưỡng, tập huấn nghiệp vụ đánh giá cho cán bộ, chuyên gia;</w:t>
      </w:r>
    </w:p>
    <w:p w14:paraId="1BCB7B5F" w14:textId="77777777" w:rsidR="001F5A3B" w:rsidRPr="00A60C5F" w:rsidRDefault="001F5A3B" w:rsidP="00890916">
      <w:pPr>
        <w:spacing w:before="120" w:after="120" w:line="276" w:lineRule="auto"/>
        <w:ind w:firstLine="547"/>
        <w:jc w:val="both"/>
        <w:rPr>
          <w:sz w:val="28"/>
          <w:szCs w:val="28"/>
        </w:rPr>
      </w:pPr>
      <w:r w:rsidRPr="00A60C5F">
        <w:rPr>
          <w:sz w:val="28"/>
          <w:szCs w:val="28"/>
        </w:rPr>
        <w:t>e) Chi cho công tác tổ chức và phí tham gia hội nghị, hội thảo khoa học, diễn đàn, tọa đàm khoa học, công tác phí trong nước và ngoài nước; hợp tác quốc tế (đoàn ra, đoàn vào) phục vụ thực hiện đánh giá hoạt động khoa học, công nghệ và đổi mới sáng tạo;</w:t>
      </w:r>
    </w:p>
    <w:p w14:paraId="6848B9E2" w14:textId="77777777" w:rsidR="001F5A3B" w:rsidRPr="00A60C5F" w:rsidRDefault="001F5A3B" w:rsidP="00890916">
      <w:pPr>
        <w:spacing w:before="120" w:after="120" w:line="276" w:lineRule="auto"/>
        <w:ind w:firstLine="547"/>
        <w:jc w:val="both"/>
        <w:rPr>
          <w:sz w:val="28"/>
          <w:szCs w:val="28"/>
        </w:rPr>
      </w:pPr>
      <w:r w:rsidRPr="00A60C5F">
        <w:rPr>
          <w:sz w:val="28"/>
          <w:szCs w:val="28"/>
        </w:rPr>
        <w:t>g) Chi điều tra, khảo sát thu thập số liệu phục vụ quá trình thực hiện đánh giá hoạt động khoa học, công nghệ và đổi mới sáng tạo;</w:t>
      </w:r>
    </w:p>
    <w:p w14:paraId="49101327" w14:textId="77777777" w:rsidR="001F5A3B" w:rsidRPr="00A60C5F" w:rsidRDefault="001F5A3B" w:rsidP="00890916">
      <w:pPr>
        <w:spacing w:before="120" w:after="120" w:line="276" w:lineRule="auto"/>
        <w:ind w:firstLine="547"/>
        <w:jc w:val="both"/>
        <w:rPr>
          <w:sz w:val="28"/>
          <w:szCs w:val="28"/>
        </w:rPr>
      </w:pPr>
      <w:r w:rsidRPr="00A60C5F">
        <w:rPr>
          <w:sz w:val="28"/>
          <w:szCs w:val="28"/>
        </w:rPr>
        <w:t>h) Chi công bố, tổng kết, công khai kết quả đánh giá;</w:t>
      </w:r>
    </w:p>
    <w:p w14:paraId="08BBA945" w14:textId="77777777" w:rsidR="001F5A3B" w:rsidRPr="00A60C5F" w:rsidRDefault="001F5A3B" w:rsidP="00890916">
      <w:pPr>
        <w:spacing w:before="120" w:after="120" w:line="276" w:lineRule="auto"/>
        <w:ind w:firstLine="547"/>
        <w:jc w:val="both"/>
        <w:rPr>
          <w:sz w:val="28"/>
          <w:szCs w:val="28"/>
        </w:rPr>
      </w:pPr>
      <w:r w:rsidRPr="00A60C5F">
        <w:rPr>
          <w:sz w:val="28"/>
          <w:szCs w:val="28"/>
        </w:rPr>
        <w:t>i) Chi văn phòng phẩm, thông tin liên lạc, in ấn phục vụ quá trình thực hiện đánh giá hoạt động khoa học, công nghệ và đổi mới sáng tạo;</w:t>
      </w:r>
    </w:p>
    <w:p w14:paraId="22597756" w14:textId="77777777" w:rsidR="001F5A3B" w:rsidRPr="00A60C5F" w:rsidRDefault="001F5A3B" w:rsidP="00890916">
      <w:pPr>
        <w:spacing w:before="120" w:after="120" w:line="276" w:lineRule="auto"/>
        <w:ind w:firstLine="547"/>
        <w:jc w:val="both"/>
        <w:rPr>
          <w:sz w:val="28"/>
          <w:szCs w:val="28"/>
        </w:rPr>
      </w:pPr>
      <w:r w:rsidRPr="00A60C5F">
        <w:rPr>
          <w:sz w:val="28"/>
          <w:szCs w:val="28"/>
        </w:rPr>
        <w:lastRenderedPageBreak/>
        <w:t>k) Chi thù lao cho Hội đồng tư vấn đánh giá tổ chức khoa học và công nghệ công lập, chương trình, chính sách, chiến lược thực hiện theo quy định tại mục 4 điểm a khoản 1 Điều này.</w:t>
      </w:r>
    </w:p>
    <w:p w14:paraId="5D43EBB7" w14:textId="6C0BE91A" w:rsidR="001F5A3B" w:rsidRPr="00A60C5F" w:rsidRDefault="001F5A3B" w:rsidP="00890916">
      <w:pPr>
        <w:spacing w:before="120" w:after="120" w:line="276" w:lineRule="auto"/>
        <w:ind w:firstLine="547"/>
        <w:jc w:val="both"/>
        <w:rPr>
          <w:sz w:val="28"/>
          <w:szCs w:val="28"/>
        </w:rPr>
      </w:pPr>
      <w:r w:rsidRPr="00A60C5F">
        <w:rPr>
          <w:sz w:val="28"/>
          <w:szCs w:val="28"/>
        </w:rPr>
        <w:t>8. Chi tổ chức xây dựng chiến lược, kế hoạch tổng thể về khoa học, công nghệ và đổi mới sáng tạo 05 năm, kế hoạch về khoa học, công nghệ và đổi mới sáng tạo 05 năm của Ủy ban nhân dân cấp tỉnh được xây dựng dự toán trên cơ sở dự kiến khối lượng công việc và các quy định của pháp luật, bao gồm:</w:t>
      </w:r>
    </w:p>
    <w:p w14:paraId="11B6C4A5" w14:textId="22E6EDFF" w:rsidR="001F5A3B" w:rsidRPr="00A60C5F" w:rsidRDefault="001F5A3B" w:rsidP="00890916">
      <w:pPr>
        <w:spacing w:before="120" w:after="120" w:line="276" w:lineRule="auto"/>
        <w:ind w:firstLine="547"/>
        <w:jc w:val="both"/>
        <w:rPr>
          <w:sz w:val="28"/>
          <w:szCs w:val="28"/>
        </w:rPr>
      </w:pPr>
      <w:r w:rsidRPr="00A60C5F">
        <w:rPr>
          <w:sz w:val="28"/>
          <w:szCs w:val="28"/>
        </w:rPr>
        <w:t xml:space="preserve">a) Chi điều tra khảo sát, thu thập và phân tích thông tin: thực hiện theo quy định tại </w:t>
      </w:r>
      <w:r w:rsidR="00BE2A1E" w:rsidRPr="00BE2A1E">
        <w:rPr>
          <w:iCs/>
          <w:color w:val="FF0000"/>
          <w:spacing w:val="-4"/>
          <w:sz w:val="28"/>
          <w:szCs w:val="28"/>
        </w:rPr>
        <w:t>Nghị quyết số 147/2018/NQ-HĐND ngày 07 tháng 12 năm 2018 của Hội đồng nhân dân tỉnh Đồng Nai quy định nội dung, mức chi thực hiện các cuộc điều tra thống kê trên địa bàn tỉnh Đồng Nai</w:t>
      </w:r>
      <w:r w:rsidR="00BE2A1E">
        <w:rPr>
          <w:iCs/>
          <w:spacing w:val="-4"/>
          <w:sz w:val="28"/>
          <w:szCs w:val="28"/>
        </w:rPr>
        <w:t xml:space="preserve">; </w:t>
      </w:r>
      <w:r w:rsidRPr="00A60C5F">
        <w:rPr>
          <w:sz w:val="28"/>
          <w:szCs w:val="28"/>
        </w:rPr>
        <w:t xml:space="preserve">Thông tư số </w:t>
      </w:r>
      <w:bookmarkStart w:id="20" w:name="tvpllink_ewtgpsicue"/>
      <w:r w:rsidRPr="00A60C5F">
        <w:rPr>
          <w:sz w:val="28"/>
          <w:szCs w:val="28"/>
        </w:rPr>
        <w:t>109/2016/TT-BTC</w:t>
      </w:r>
      <w:bookmarkEnd w:id="20"/>
      <w:r w:rsidRPr="00A60C5F">
        <w:rPr>
          <w:sz w:val="28"/>
          <w:szCs w:val="28"/>
        </w:rPr>
        <w:t xml:space="preserve"> ngày 30 tháng 6 năm 2016 của Bộ trưởng Bộ Tài chính quy định lập dự toán, quản lý, sử dụng và quyết toán kinh phí thực hiện các cuộc điều tra thống kê, Tổng điều tra thống kê quốc gia, được sửa đổi, bổ sung tại Thông tư số </w:t>
      </w:r>
      <w:bookmarkStart w:id="21" w:name="tvpllink_xsmnvbhdha"/>
      <w:r w:rsidRPr="00A60C5F">
        <w:rPr>
          <w:sz w:val="28"/>
          <w:szCs w:val="28"/>
        </w:rPr>
        <w:t>37/2022/TT-BTC</w:t>
      </w:r>
      <w:bookmarkEnd w:id="21"/>
      <w:r w:rsidRPr="00A60C5F">
        <w:rPr>
          <w:sz w:val="28"/>
          <w:szCs w:val="28"/>
        </w:rPr>
        <w:t xml:space="preserve"> ngày 22 tháng 6 năm 2022 của Bộ trưởng Bộ Tài chính;</w:t>
      </w:r>
    </w:p>
    <w:p w14:paraId="2BA29667" w14:textId="77777777" w:rsidR="001F5A3B" w:rsidRPr="00A60C5F" w:rsidRDefault="001F5A3B" w:rsidP="00890916">
      <w:pPr>
        <w:spacing w:before="120" w:after="120" w:line="276" w:lineRule="auto"/>
        <w:ind w:firstLine="547"/>
        <w:jc w:val="both"/>
        <w:rPr>
          <w:sz w:val="28"/>
          <w:szCs w:val="28"/>
        </w:rPr>
      </w:pPr>
      <w:r w:rsidRPr="00A60C5F">
        <w:rPr>
          <w:sz w:val="28"/>
          <w:szCs w:val="28"/>
        </w:rPr>
        <w:t xml:space="preserve">b) Chi thuê chuyên gia tư vấn, tổ chức tư vấn độc lập để xây dựng hoặc đánh giá: thực hiện theo quy định tại Thông tư số </w:t>
      </w:r>
      <w:bookmarkStart w:id="22" w:name="tvpllink_rniltyplmi_4"/>
      <w:r w:rsidRPr="00A60C5F">
        <w:rPr>
          <w:sz w:val="28"/>
          <w:szCs w:val="28"/>
        </w:rPr>
        <w:t>004/2025/TT-BNV</w:t>
      </w:r>
      <w:bookmarkEnd w:id="22"/>
      <w:r w:rsidRPr="00A60C5F">
        <w:rPr>
          <w:sz w:val="28"/>
          <w:szCs w:val="28"/>
        </w:rPr>
        <w:t>; các chi phí cần thiết khác theo chế độ, định mức hiện hành (nếu có) và các báo giá liên quan;</w:t>
      </w:r>
    </w:p>
    <w:p w14:paraId="1770CA8E" w14:textId="0D43AC5D" w:rsidR="001F5A3B" w:rsidRPr="00A60C5F" w:rsidRDefault="001F5A3B" w:rsidP="00890916">
      <w:pPr>
        <w:spacing w:before="120" w:after="120" w:line="276" w:lineRule="auto"/>
        <w:ind w:firstLine="547"/>
        <w:jc w:val="both"/>
        <w:rPr>
          <w:sz w:val="28"/>
          <w:szCs w:val="28"/>
        </w:rPr>
      </w:pPr>
      <w:r w:rsidRPr="00A60C5F">
        <w:rPr>
          <w:sz w:val="28"/>
          <w:szCs w:val="28"/>
        </w:rPr>
        <w:t xml:space="preserve">c) Chi cho công tác tổ chức và phí tham gia hội nghị, hội thảo khoa học, diễn đàn, tọa đàm khoa học, công tác phí trong nước và ngoài nước; hợp tác quốc tế (đoàn ra, đoàn vào) phục vụ quá trình xây dựng chiến lược, kế hoạch: thực hiện theo quy định tại </w:t>
      </w:r>
      <w:r w:rsidR="00696797" w:rsidRPr="00696797">
        <w:rPr>
          <w:color w:val="4472C4" w:themeColor="accent1"/>
          <w:sz w:val="28"/>
          <w:szCs w:val="28"/>
        </w:rPr>
        <w:t>Nghị quyết số 04/2025/NQ-HĐND</w:t>
      </w:r>
      <w:r w:rsidR="00696797" w:rsidRPr="00696797">
        <w:rPr>
          <w:bCs/>
          <w:iCs/>
          <w:color w:val="4472C4" w:themeColor="accent1"/>
          <w:spacing w:val="6"/>
          <w:sz w:val="28"/>
          <w:szCs w:val="28"/>
        </w:rPr>
        <w:t xml:space="preserve"> ngày 03 tháng 10 năm 2025 của Hội đồng nhân dân tỉnh Quy định mức chi chế độ công tác phí, chế độ chi hội nghị trên địa bàn tỉnh Đồng Nai</w:t>
      </w:r>
      <w:r w:rsidR="00696797">
        <w:rPr>
          <w:sz w:val="28"/>
          <w:szCs w:val="28"/>
        </w:rPr>
        <w:t xml:space="preserve">; </w:t>
      </w:r>
      <w:r w:rsidRPr="00A60C5F">
        <w:rPr>
          <w:sz w:val="28"/>
          <w:szCs w:val="28"/>
        </w:rPr>
        <w:t xml:space="preserve">Thông tư số </w:t>
      </w:r>
      <w:bookmarkStart w:id="23" w:name="tvpllink_iokckdmoej_1"/>
      <w:r w:rsidRPr="00A60C5F">
        <w:rPr>
          <w:sz w:val="28"/>
          <w:szCs w:val="28"/>
        </w:rPr>
        <w:t>40/2017/TT-BTC</w:t>
      </w:r>
      <w:bookmarkEnd w:id="23"/>
      <w:r w:rsidRPr="00A60C5F">
        <w:rPr>
          <w:sz w:val="28"/>
          <w:szCs w:val="28"/>
        </w:rPr>
        <w:t xml:space="preserve">, được sửa đổi bổ sung bởi Thông tư số </w:t>
      </w:r>
      <w:bookmarkStart w:id="24" w:name="tvpllink_ovvvdotqhz_1"/>
      <w:r w:rsidRPr="00A60C5F">
        <w:rPr>
          <w:sz w:val="28"/>
          <w:szCs w:val="28"/>
        </w:rPr>
        <w:t>12/2025/TT-BTC</w:t>
      </w:r>
      <w:bookmarkEnd w:id="24"/>
      <w:r w:rsidRPr="00A60C5F">
        <w:rPr>
          <w:sz w:val="28"/>
          <w:szCs w:val="28"/>
        </w:rPr>
        <w:t xml:space="preserve"> ngày 19 tháng 3 năm 2025 của Bộ Tài chính; tại </w:t>
      </w:r>
      <w:bookmarkStart w:id="25" w:name="dc_5"/>
      <w:r w:rsidRPr="00A60C5F">
        <w:rPr>
          <w:sz w:val="28"/>
          <w:szCs w:val="28"/>
        </w:rPr>
        <w:t>khoản 3 Điều 17 Thông tư số 39/2025/TT-BKHCN</w:t>
      </w:r>
      <w:bookmarkEnd w:id="25"/>
      <w:r w:rsidRPr="00A60C5F">
        <w:rPr>
          <w:sz w:val="28"/>
          <w:szCs w:val="28"/>
        </w:rPr>
        <w:t xml:space="preserve">; Thông tư số </w:t>
      </w:r>
      <w:bookmarkStart w:id="26" w:name="tvpllink_henvpqkwsj"/>
      <w:r w:rsidRPr="00A60C5F">
        <w:rPr>
          <w:sz w:val="28"/>
          <w:szCs w:val="28"/>
        </w:rPr>
        <w:t>102/2012/TT-BTC</w:t>
      </w:r>
      <w:bookmarkEnd w:id="26"/>
      <w:r w:rsidRPr="00A60C5F">
        <w:rPr>
          <w:sz w:val="28"/>
          <w:szCs w:val="28"/>
        </w:rPr>
        <w:t xml:space="preserve"> ngày 21 tháng 6 năm 2012 của Bộ Tài chính quy định chế độ công tác phí cho cán bộ, công chức nhà nước đi công tác ngắn hạn ở nước ngoài do ngân sách nhà nước bảo đảm kinh phí;</w:t>
      </w:r>
    </w:p>
    <w:p w14:paraId="5D177AF5" w14:textId="77777777" w:rsidR="001F5A3B" w:rsidRPr="00A60C5F" w:rsidRDefault="001F5A3B" w:rsidP="00890916">
      <w:pPr>
        <w:spacing w:before="120" w:after="120" w:line="276" w:lineRule="auto"/>
        <w:ind w:firstLine="547"/>
        <w:jc w:val="both"/>
        <w:rPr>
          <w:sz w:val="28"/>
          <w:szCs w:val="28"/>
        </w:rPr>
      </w:pPr>
      <w:r w:rsidRPr="00A60C5F">
        <w:rPr>
          <w:sz w:val="28"/>
          <w:szCs w:val="28"/>
        </w:rPr>
        <w:t>d) Chi văn phòng phẩm, thông tin liên lạc, in ấn phục vụ quá trình xây dựng chiến lược, kế hoạch: thực hiện chi theo hóa đơn, chứng từ hợp pháp, hợp lệ và quy định của pháp luật về đấu thầu trong phạm vi dự toán kinh phí cho nhiệm vụ này đã được cơ quan có thẩm quyền phê duyệt;</w:t>
      </w:r>
    </w:p>
    <w:p w14:paraId="68D4ECE2" w14:textId="77777777" w:rsidR="001F5A3B" w:rsidRPr="00A60C5F" w:rsidRDefault="001F5A3B" w:rsidP="00890916">
      <w:pPr>
        <w:spacing w:before="120" w:after="120" w:line="276" w:lineRule="auto"/>
        <w:ind w:firstLine="547"/>
        <w:jc w:val="both"/>
        <w:rPr>
          <w:sz w:val="28"/>
          <w:szCs w:val="28"/>
        </w:rPr>
      </w:pPr>
      <w:r w:rsidRPr="00A60C5F">
        <w:rPr>
          <w:sz w:val="28"/>
          <w:szCs w:val="28"/>
        </w:rPr>
        <w:t xml:space="preserve">đ) Chi công tác thông tin, tuyên truyền, công bố chiến lược, kế hoạch trên các phương tiện truyền thông (báo giấy, báo hình, báo điện tử và các phương tiện truyền thông khác): thực hiện theo quy định pháp luật về chế độ và định mức chi tiêu ngân sách nhà nước (nếu có), thanh toán theo hợp đồng và thực tế phát sinh </w:t>
      </w:r>
      <w:r w:rsidRPr="00A60C5F">
        <w:rPr>
          <w:sz w:val="28"/>
          <w:szCs w:val="28"/>
        </w:rPr>
        <w:lastRenderedPageBreak/>
        <w:t>trong phạm vi dự toán được cấp có thẩm quyền phê duyệt, đảm bảo tiết kiệm, hiệu quả;</w:t>
      </w:r>
    </w:p>
    <w:p w14:paraId="356E6BBA" w14:textId="4B9078CF" w:rsidR="00DD61AB" w:rsidRDefault="001F5A3B" w:rsidP="00890916">
      <w:pPr>
        <w:tabs>
          <w:tab w:val="left" w:pos="810"/>
        </w:tabs>
        <w:spacing w:before="120" w:after="120" w:line="276" w:lineRule="auto"/>
        <w:ind w:firstLine="547"/>
        <w:jc w:val="both"/>
        <w:rPr>
          <w:sz w:val="28"/>
          <w:szCs w:val="28"/>
        </w:rPr>
      </w:pPr>
      <w:r w:rsidRPr="00A60C5F">
        <w:rPr>
          <w:sz w:val="28"/>
          <w:szCs w:val="28"/>
        </w:rPr>
        <w:t>e) Các khoản chi khác như chi mua báo cáo, tài liệu, dữ liệu chuyên sâu để phục vụ quá trình xây dựng chiến lược, kế hoạch: thực hiện theo quy định pháp luật về chế độ và định mức chi ngân sách nhà nước (nếu có), thanh toán theo hợp đồng và thực tế phát sinh trong phạm vi dự toán được cấp có thẩm quyền phê duyệt, đảm bảo tiết kiệm, hiệu quả.</w:t>
      </w:r>
    </w:p>
    <w:bookmarkEnd w:id="8"/>
    <w:p w14:paraId="0E4D0996" w14:textId="6E44A5D1" w:rsidR="00556822" w:rsidRPr="00C859DB" w:rsidRDefault="00556822" w:rsidP="00890916">
      <w:pPr>
        <w:spacing w:before="120" w:after="120" w:line="276" w:lineRule="auto"/>
        <w:ind w:firstLine="547"/>
        <w:jc w:val="both"/>
        <w:rPr>
          <w:rFonts w:asciiTheme="majorHAnsi" w:hAnsiTheme="majorHAnsi" w:cstheme="majorHAnsi"/>
          <w:sz w:val="28"/>
          <w:szCs w:val="28"/>
        </w:rPr>
      </w:pPr>
      <w:r w:rsidRPr="00C859DB">
        <w:rPr>
          <w:rFonts w:asciiTheme="majorHAnsi" w:hAnsiTheme="majorHAnsi" w:cstheme="majorHAnsi"/>
          <w:b/>
          <w:bCs/>
          <w:sz w:val="28"/>
          <w:szCs w:val="28"/>
        </w:rPr>
        <w:t xml:space="preserve">Điều </w:t>
      </w:r>
      <w:r w:rsidR="008229EB">
        <w:rPr>
          <w:rFonts w:asciiTheme="majorHAnsi" w:hAnsiTheme="majorHAnsi" w:cstheme="majorHAnsi"/>
          <w:b/>
          <w:bCs/>
          <w:sz w:val="28"/>
          <w:szCs w:val="28"/>
        </w:rPr>
        <w:t>4</w:t>
      </w:r>
      <w:r w:rsidRPr="00C859DB">
        <w:rPr>
          <w:rFonts w:asciiTheme="majorHAnsi" w:hAnsiTheme="majorHAnsi" w:cstheme="majorHAnsi"/>
          <w:b/>
          <w:bCs/>
          <w:sz w:val="28"/>
          <w:szCs w:val="28"/>
        </w:rPr>
        <w:t>. Nguồn kinh phí</w:t>
      </w:r>
    </w:p>
    <w:p w14:paraId="32CB8A9C" w14:textId="1D1DAD3A" w:rsidR="006724AB" w:rsidRPr="00D45F56" w:rsidRDefault="006724AB" w:rsidP="00890916">
      <w:pPr>
        <w:pStyle w:val="ListParagraph"/>
        <w:tabs>
          <w:tab w:val="left" w:pos="301"/>
        </w:tabs>
        <w:spacing w:before="120" w:after="120" w:line="276" w:lineRule="auto"/>
        <w:ind w:left="0" w:firstLine="547"/>
        <w:contextualSpacing w:val="0"/>
        <w:jc w:val="both"/>
        <w:rPr>
          <w:sz w:val="26"/>
          <w:szCs w:val="26"/>
        </w:rPr>
      </w:pPr>
      <w:r w:rsidRPr="006724AB">
        <w:rPr>
          <w:sz w:val="28"/>
          <w:szCs w:val="28"/>
        </w:rPr>
        <w:t xml:space="preserve">Nguồn ngân sách chi cho </w:t>
      </w:r>
      <w:r w:rsidR="001F5A3B">
        <w:rPr>
          <w:sz w:val="28"/>
          <w:szCs w:val="28"/>
        </w:rPr>
        <w:t xml:space="preserve">lĩnh vực </w:t>
      </w:r>
      <w:r w:rsidRPr="006724AB">
        <w:rPr>
          <w:sz w:val="28"/>
          <w:szCs w:val="28"/>
        </w:rPr>
        <w:t>khoa học</w:t>
      </w:r>
      <w:r w:rsidR="008229EB">
        <w:rPr>
          <w:sz w:val="28"/>
          <w:szCs w:val="28"/>
        </w:rPr>
        <w:t>,</w:t>
      </w:r>
      <w:r w:rsidRPr="006724AB">
        <w:rPr>
          <w:sz w:val="28"/>
          <w:szCs w:val="28"/>
        </w:rPr>
        <w:t xml:space="preserve"> công nghệ</w:t>
      </w:r>
      <w:r w:rsidR="008229EB">
        <w:rPr>
          <w:sz w:val="26"/>
          <w:szCs w:val="26"/>
        </w:rPr>
        <w:t>, đổi mới sáng tạo và chuyển đổi số</w:t>
      </w:r>
    </w:p>
    <w:p w14:paraId="0470679E" w14:textId="686F4EE3" w:rsidR="00654D62" w:rsidRDefault="00654D62" w:rsidP="00890916">
      <w:pPr>
        <w:pStyle w:val="BodyText"/>
        <w:tabs>
          <w:tab w:val="left" w:pos="720"/>
          <w:tab w:val="left" w:pos="1080"/>
        </w:tabs>
        <w:spacing w:before="120" w:after="120" w:line="276" w:lineRule="auto"/>
        <w:ind w:firstLine="547"/>
        <w:rPr>
          <w:rFonts w:asciiTheme="majorHAnsi" w:hAnsiTheme="majorHAnsi" w:cstheme="majorHAnsi"/>
          <w:b/>
          <w:iCs/>
          <w:color w:val="000000"/>
          <w:szCs w:val="28"/>
          <w:lang w:val="de-DE"/>
        </w:rPr>
      </w:pPr>
      <w:r w:rsidRPr="00C859DB">
        <w:rPr>
          <w:rFonts w:asciiTheme="majorHAnsi" w:hAnsiTheme="majorHAnsi" w:cstheme="majorHAnsi"/>
          <w:b/>
          <w:iCs/>
          <w:color w:val="000000"/>
          <w:szCs w:val="28"/>
          <w:lang w:val="de-DE"/>
        </w:rPr>
        <w:t xml:space="preserve">Điều </w:t>
      </w:r>
      <w:r w:rsidR="00757C82">
        <w:rPr>
          <w:rFonts w:asciiTheme="majorHAnsi" w:hAnsiTheme="majorHAnsi" w:cstheme="majorHAnsi"/>
          <w:b/>
          <w:iCs/>
          <w:color w:val="000000"/>
          <w:szCs w:val="28"/>
          <w:lang w:val="de-DE"/>
        </w:rPr>
        <w:t>5</w:t>
      </w:r>
      <w:r w:rsidRPr="00C859DB">
        <w:rPr>
          <w:rFonts w:asciiTheme="majorHAnsi" w:hAnsiTheme="majorHAnsi" w:cstheme="majorHAnsi"/>
          <w:iCs/>
          <w:color w:val="000000"/>
          <w:szCs w:val="28"/>
          <w:lang w:val="de-DE"/>
        </w:rPr>
        <w:t xml:space="preserve">. </w:t>
      </w:r>
      <w:r w:rsidRPr="00C859DB">
        <w:rPr>
          <w:rFonts w:asciiTheme="majorHAnsi" w:hAnsiTheme="majorHAnsi" w:cstheme="majorHAnsi"/>
          <w:b/>
          <w:iCs/>
          <w:color w:val="000000"/>
          <w:szCs w:val="28"/>
          <w:lang w:val="de-DE"/>
        </w:rPr>
        <w:t>Điều khoản chuyển tiếp</w:t>
      </w:r>
    </w:p>
    <w:p w14:paraId="1132368E" w14:textId="3EA546C2" w:rsidR="00757C82" w:rsidRDefault="00757C82" w:rsidP="00890916">
      <w:pPr>
        <w:pStyle w:val="BodyText"/>
        <w:tabs>
          <w:tab w:val="left" w:pos="720"/>
          <w:tab w:val="left" w:pos="1080"/>
        </w:tabs>
        <w:spacing w:before="120" w:after="120" w:line="276" w:lineRule="auto"/>
        <w:ind w:firstLine="547"/>
        <w:rPr>
          <w:szCs w:val="28"/>
        </w:rPr>
      </w:pPr>
      <w:bookmarkStart w:id="27" w:name="_GoBack"/>
      <w:r>
        <w:rPr>
          <w:rFonts w:asciiTheme="majorHAnsi" w:hAnsiTheme="majorHAnsi" w:cstheme="majorHAnsi"/>
          <w:b/>
          <w:iCs/>
          <w:color w:val="000000"/>
          <w:szCs w:val="28"/>
          <w:lang w:val="de-DE"/>
        </w:rPr>
        <w:t xml:space="preserve">1. </w:t>
      </w:r>
      <w:r w:rsidRPr="00A60C5F">
        <w:rPr>
          <w:szCs w:val="28"/>
        </w:rPr>
        <w:t xml:space="preserve">Đối với đề xuất nhiệm vụ khoa học và công nghệ, đề xuất đặt hàng nhiệm vụ khoa học và công nghệ đã nộp cho cơ quan nhà nước có thẩm quyền nhưng </w:t>
      </w:r>
      <w:r w:rsidRPr="00F10622">
        <w:rPr>
          <w:color w:val="FF0000"/>
          <w:szCs w:val="28"/>
        </w:rPr>
        <w:t xml:space="preserve">đến ngày 01 tháng 10 năm 2025 </w:t>
      </w:r>
      <w:r w:rsidRPr="001E707C">
        <w:rPr>
          <w:szCs w:val="28"/>
        </w:rPr>
        <w:t>chưa</w:t>
      </w:r>
      <w:r w:rsidRPr="00A60C5F">
        <w:rPr>
          <w:szCs w:val="28"/>
        </w:rPr>
        <w:t xml:space="preserve"> được cơ quan có thẩm quyền phê duyệt giao chủ trì thực hiện nhiệm vụ</w:t>
      </w:r>
      <w:r>
        <w:rPr>
          <w:szCs w:val="28"/>
        </w:rPr>
        <w:t xml:space="preserve"> </w:t>
      </w:r>
      <w:r w:rsidRPr="00A60C5F">
        <w:rPr>
          <w:szCs w:val="28"/>
        </w:rPr>
        <w:t xml:space="preserve">theo quy định </w:t>
      </w:r>
      <w:r w:rsidRPr="00757C82">
        <w:rPr>
          <w:color w:val="FF0000"/>
          <w:szCs w:val="28"/>
        </w:rPr>
        <w:t xml:space="preserve">tại khoản 1 Điều 73 Luật Khoa học, </w:t>
      </w:r>
      <w:r w:rsidRPr="00A60C5F">
        <w:rPr>
          <w:szCs w:val="28"/>
        </w:rPr>
        <w:t>Công nghệ và Đổi mới sáng tạo thì cơ quan có thẩm quyền được tiếp tục áp dụng nội dung chi quản lý nhiệm vụ khoa học và công nghệ và định mức chi quản lý nhiệm vụ khoa học và công nghệ đang có hiệu lực tại thời điểm tiếp nhận đề xuất nhiệm vụ, tiếp nhận đề xuất đặt hàng nhiệm vụ</w:t>
      </w:r>
      <w:r>
        <w:rPr>
          <w:szCs w:val="28"/>
        </w:rPr>
        <w:t>.</w:t>
      </w:r>
    </w:p>
    <w:p w14:paraId="1B80F9A3" w14:textId="1FBA74FC" w:rsidR="00556822" w:rsidRPr="008229EB" w:rsidRDefault="001F5A3B" w:rsidP="00890916">
      <w:pPr>
        <w:spacing w:before="120" w:after="120" w:line="276" w:lineRule="auto"/>
        <w:ind w:firstLine="547"/>
        <w:jc w:val="both"/>
        <w:rPr>
          <w:color w:val="FF0000"/>
          <w:sz w:val="28"/>
          <w:szCs w:val="28"/>
        </w:rPr>
      </w:pPr>
      <w:r w:rsidRPr="00011447">
        <w:rPr>
          <w:b/>
          <w:sz w:val="28"/>
          <w:szCs w:val="28"/>
        </w:rPr>
        <w:t>2.</w:t>
      </w:r>
      <w:r w:rsidRPr="00A60C5F">
        <w:rPr>
          <w:sz w:val="28"/>
          <w:szCs w:val="28"/>
        </w:rPr>
        <w:t xml:space="preserve"> Đối với nhiệm vụ khoa học và công nghệ đã được cơ quan có thẩm quyền phê duyệt giao chủ trì thực hiện nhiệm vụ </w:t>
      </w:r>
      <w:r w:rsidR="00757C82" w:rsidRPr="00D26CFF">
        <w:rPr>
          <w:color w:val="FF0000"/>
          <w:sz w:val="28"/>
          <w:szCs w:val="28"/>
        </w:rPr>
        <w:t>trước ngày 01 tháng 10 năm 2025</w:t>
      </w:r>
      <w:r w:rsidR="00757C82">
        <w:rPr>
          <w:color w:val="FF0000"/>
          <w:sz w:val="28"/>
          <w:szCs w:val="28"/>
        </w:rPr>
        <w:t xml:space="preserve"> </w:t>
      </w:r>
      <w:r w:rsidRPr="00A60C5F">
        <w:rPr>
          <w:sz w:val="28"/>
          <w:szCs w:val="28"/>
        </w:rPr>
        <w:t xml:space="preserve">theo quy định tại </w:t>
      </w:r>
      <w:bookmarkStart w:id="28" w:name="dc_24"/>
      <w:r w:rsidRPr="00A60C5F">
        <w:rPr>
          <w:sz w:val="28"/>
          <w:szCs w:val="28"/>
        </w:rPr>
        <w:t>khoản 3 Điều 73 Luật Khoa học, Công nghệ và Đổi mới sáng tạo</w:t>
      </w:r>
      <w:bookmarkEnd w:id="28"/>
      <w:r w:rsidRPr="00A60C5F">
        <w:rPr>
          <w:sz w:val="28"/>
          <w:szCs w:val="28"/>
        </w:rPr>
        <w:t xml:space="preserve"> thì cơ quan có thẩm quyền được tiếp tục áp dụng nội dung chi quản lý nhiệm vụ khoa học và công nghệ và định mức chi quản lý nhiệm vụ khoa học và công nghệ đang có hiệu lực tại thời điểm phê duyệt nhiệm vụ</w:t>
      </w:r>
      <w:bookmarkEnd w:id="27"/>
      <w:r w:rsidR="00F10622">
        <w:rPr>
          <w:sz w:val="28"/>
          <w:szCs w:val="28"/>
        </w:rPr>
        <w:t>.</w:t>
      </w:r>
    </w:p>
    <w:p w14:paraId="3CBA079C" w14:textId="11CF7F36" w:rsidR="00556822" w:rsidRPr="008229EB" w:rsidRDefault="00556822" w:rsidP="00E8511C">
      <w:pPr>
        <w:tabs>
          <w:tab w:val="left" w:pos="6614"/>
          <w:tab w:val="left" w:pos="6660"/>
        </w:tabs>
        <w:jc w:val="center"/>
        <w:rPr>
          <w:color w:val="FF0000"/>
          <w:sz w:val="28"/>
          <w:szCs w:val="28"/>
        </w:rPr>
      </w:pPr>
    </w:p>
    <w:p w14:paraId="604FE64C" w14:textId="77777777" w:rsidR="00556822" w:rsidRPr="00FE5BD8" w:rsidRDefault="00556822" w:rsidP="00E8511C">
      <w:pPr>
        <w:tabs>
          <w:tab w:val="left" w:pos="6614"/>
          <w:tab w:val="left" w:pos="6660"/>
        </w:tabs>
        <w:jc w:val="center"/>
        <w:rPr>
          <w:sz w:val="28"/>
          <w:szCs w:val="28"/>
        </w:rPr>
      </w:pPr>
    </w:p>
    <w:sectPr w:rsidR="00556822" w:rsidRPr="00FE5BD8" w:rsidSect="007B0E58">
      <w:headerReference w:type="default" r:id="rId10"/>
      <w:footerReference w:type="even" r:id="rId11"/>
      <w:pgSz w:w="11907" w:h="16840" w:code="9"/>
      <w:pgMar w:top="1072" w:right="1138" w:bottom="720" w:left="1699" w:header="547" w:footer="115"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DAFD9" w14:textId="77777777" w:rsidR="00F542A1" w:rsidRDefault="00F542A1">
      <w:r>
        <w:separator/>
      </w:r>
    </w:p>
  </w:endnote>
  <w:endnote w:type="continuationSeparator" w:id="0">
    <w:p w14:paraId="14CABDC5" w14:textId="77777777" w:rsidR="00F542A1" w:rsidRDefault="00F54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5617C" w14:textId="77777777" w:rsidR="008D378B" w:rsidRDefault="008D37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D9A7EA" w14:textId="77777777" w:rsidR="008D378B" w:rsidRDefault="008D378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F56E0" w14:textId="77777777" w:rsidR="00F542A1" w:rsidRDefault="00F542A1">
      <w:r>
        <w:separator/>
      </w:r>
    </w:p>
  </w:footnote>
  <w:footnote w:type="continuationSeparator" w:id="0">
    <w:p w14:paraId="38D295D1" w14:textId="77777777" w:rsidR="00F542A1" w:rsidRDefault="00F542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6AAD7" w14:textId="277EB787" w:rsidR="008D378B" w:rsidRPr="00890916" w:rsidRDefault="008D378B" w:rsidP="00D87ECB">
    <w:pPr>
      <w:pStyle w:val="Header"/>
      <w:jc w:val="center"/>
    </w:pPr>
    <w:r w:rsidRPr="00890916">
      <w:fldChar w:fldCharType="begin"/>
    </w:r>
    <w:r w:rsidRPr="00890916">
      <w:instrText xml:space="preserve"> PAGE   \* MERGEFORMAT </w:instrText>
    </w:r>
    <w:r w:rsidRPr="00890916">
      <w:fldChar w:fldCharType="separate"/>
    </w:r>
    <w:r w:rsidR="00011447">
      <w:rPr>
        <w:noProof/>
      </w:rPr>
      <w:t>9</w:t>
    </w:r>
    <w:r w:rsidRPr="00890916">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0576CB"/>
    <w:multiLevelType w:val="hybridMultilevel"/>
    <w:tmpl w:val="128AADFC"/>
    <w:lvl w:ilvl="0" w:tplc="78C0FA96">
      <w:start w:val="1"/>
      <w:numFmt w:val="decimal"/>
      <w:lvlText w:val="%1."/>
      <w:lvlJc w:val="left"/>
      <w:pPr>
        <w:ind w:left="288" w:hanging="360"/>
      </w:pPr>
      <w:rPr>
        <w:rFonts w:hint="default"/>
        <w:b/>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2" w15:restartNumberingAfterBreak="0">
    <w:nsid w:val="16BD12C8"/>
    <w:multiLevelType w:val="hybridMultilevel"/>
    <w:tmpl w:val="D1E6E38A"/>
    <w:lvl w:ilvl="0" w:tplc="754A14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B001366"/>
    <w:multiLevelType w:val="hybridMultilevel"/>
    <w:tmpl w:val="B598311E"/>
    <w:lvl w:ilvl="0" w:tplc="923EF4A8">
      <w:start w:val="1"/>
      <w:numFmt w:val="decimal"/>
      <w:lvlText w:val="%1."/>
      <w:lvlJc w:val="left"/>
      <w:pPr>
        <w:tabs>
          <w:tab w:val="num" w:pos="567"/>
        </w:tabs>
        <w:ind w:left="1418" w:hanging="12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941B48"/>
    <w:multiLevelType w:val="hybridMultilevel"/>
    <w:tmpl w:val="79BED4DC"/>
    <w:lvl w:ilvl="0" w:tplc="B3DA5644">
      <w:start w:val="1"/>
      <w:numFmt w:val="decimal"/>
      <w:lvlText w:val="%1."/>
      <w:lvlJc w:val="left"/>
      <w:pPr>
        <w:ind w:left="922" w:hanging="360"/>
      </w:pPr>
      <w:rPr>
        <w:rFonts w:hint="default"/>
        <w:b w:val="0"/>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5" w15:restartNumberingAfterBreak="0">
    <w:nsid w:val="4BC21463"/>
    <w:multiLevelType w:val="hybridMultilevel"/>
    <w:tmpl w:val="108E7280"/>
    <w:lvl w:ilvl="0" w:tplc="0686BBE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4BF40B24"/>
    <w:multiLevelType w:val="hybridMultilevel"/>
    <w:tmpl w:val="9B4A0DA4"/>
    <w:lvl w:ilvl="0" w:tplc="2B5CF5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0BB629C"/>
    <w:multiLevelType w:val="hybridMultilevel"/>
    <w:tmpl w:val="E75EA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775C47"/>
    <w:multiLevelType w:val="hybridMultilevel"/>
    <w:tmpl w:val="1416F14E"/>
    <w:lvl w:ilvl="0" w:tplc="D24081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A85087"/>
    <w:multiLevelType w:val="hybridMultilevel"/>
    <w:tmpl w:val="557841CA"/>
    <w:lvl w:ilvl="0" w:tplc="2BFAA166">
      <w:start w:val="1"/>
      <w:numFmt w:val="decimal"/>
      <w:lvlText w:val="%1."/>
      <w:lvlJc w:val="left"/>
      <w:pPr>
        <w:ind w:left="90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63D812DA"/>
    <w:multiLevelType w:val="hybridMultilevel"/>
    <w:tmpl w:val="8F5EAED4"/>
    <w:lvl w:ilvl="0" w:tplc="B4C688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47211E1"/>
    <w:multiLevelType w:val="hybridMultilevel"/>
    <w:tmpl w:val="488A642E"/>
    <w:lvl w:ilvl="0" w:tplc="E4F4E1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0"/>
  </w:num>
  <w:num w:numId="4">
    <w:abstractNumId w:val="1"/>
  </w:num>
  <w:num w:numId="5">
    <w:abstractNumId w:val="7"/>
  </w:num>
  <w:num w:numId="6">
    <w:abstractNumId w:val="8"/>
  </w:num>
  <w:num w:numId="7">
    <w:abstractNumId w:val="11"/>
  </w:num>
  <w:num w:numId="8">
    <w:abstractNumId w:val="2"/>
  </w:num>
  <w:num w:numId="9">
    <w:abstractNumId w:val="4"/>
  </w:num>
  <w:num w:numId="10">
    <w:abstractNumId w:val="6"/>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418"/>
    <w:rsid w:val="000011CA"/>
    <w:rsid w:val="00003F0A"/>
    <w:rsid w:val="000047A7"/>
    <w:rsid w:val="00011447"/>
    <w:rsid w:val="00012308"/>
    <w:rsid w:val="0001660F"/>
    <w:rsid w:val="000167F2"/>
    <w:rsid w:val="00021124"/>
    <w:rsid w:val="00022230"/>
    <w:rsid w:val="00023020"/>
    <w:rsid w:val="000234C2"/>
    <w:rsid w:val="00030EA4"/>
    <w:rsid w:val="000404A6"/>
    <w:rsid w:val="00041032"/>
    <w:rsid w:val="00051589"/>
    <w:rsid w:val="00052924"/>
    <w:rsid w:val="00057AA2"/>
    <w:rsid w:val="0006029D"/>
    <w:rsid w:val="00064924"/>
    <w:rsid w:val="00081BDA"/>
    <w:rsid w:val="0009017A"/>
    <w:rsid w:val="000937E3"/>
    <w:rsid w:val="000A0216"/>
    <w:rsid w:val="000B01BF"/>
    <w:rsid w:val="000B096F"/>
    <w:rsid w:val="000B13CC"/>
    <w:rsid w:val="000B2627"/>
    <w:rsid w:val="000B2EB9"/>
    <w:rsid w:val="000B7522"/>
    <w:rsid w:val="000C3082"/>
    <w:rsid w:val="000C6167"/>
    <w:rsid w:val="000C6572"/>
    <w:rsid w:val="000C713F"/>
    <w:rsid w:val="000D1967"/>
    <w:rsid w:val="000D3AE9"/>
    <w:rsid w:val="000F20C4"/>
    <w:rsid w:val="00104521"/>
    <w:rsid w:val="00104577"/>
    <w:rsid w:val="00105C4E"/>
    <w:rsid w:val="0012049D"/>
    <w:rsid w:val="001240C9"/>
    <w:rsid w:val="0012421D"/>
    <w:rsid w:val="00134711"/>
    <w:rsid w:val="0013478F"/>
    <w:rsid w:val="00142C86"/>
    <w:rsid w:val="00150311"/>
    <w:rsid w:val="00150439"/>
    <w:rsid w:val="00156AD4"/>
    <w:rsid w:val="00160854"/>
    <w:rsid w:val="0016351D"/>
    <w:rsid w:val="00164AED"/>
    <w:rsid w:val="00167DBD"/>
    <w:rsid w:val="00170916"/>
    <w:rsid w:val="00173B24"/>
    <w:rsid w:val="0017428D"/>
    <w:rsid w:val="0017579E"/>
    <w:rsid w:val="001758DF"/>
    <w:rsid w:val="00175A89"/>
    <w:rsid w:val="00176353"/>
    <w:rsid w:val="00181E55"/>
    <w:rsid w:val="00190B3F"/>
    <w:rsid w:val="00193F14"/>
    <w:rsid w:val="001940B2"/>
    <w:rsid w:val="001A711A"/>
    <w:rsid w:val="001A7DC6"/>
    <w:rsid w:val="001C047A"/>
    <w:rsid w:val="001C3A5A"/>
    <w:rsid w:val="001E122C"/>
    <w:rsid w:val="001F07C7"/>
    <w:rsid w:val="001F1EBE"/>
    <w:rsid w:val="001F5A3B"/>
    <w:rsid w:val="00200FC9"/>
    <w:rsid w:val="00206889"/>
    <w:rsid w:val="002069C1"/>
    <w:rsid w:val="00206CC9"/>
    <w:rsid w:val="002123AB"/>
    <w:rsid w:val="00215004"/>
    <w:rsid w:val="00215B06"/>
    <w:rsid w:val="00217C7B"/>
    <w:rsid w:val="00220376"/>
    <w:rsid w:val="00220A28"/>
    <w:rsid w:val="00236354"/>
    <w:rsid w:val="00236851"/>
    <w:rsid w:val="002413A5"/>
    <w:rsid w:val="00242320"/>
    <w:rsid w:val="002459E2"/>
    <w:rsid w:val="00252849"/>
    <w:rsid w:val="00254B5B"/>
    <w:rsid w:val="00260577"/>
    <w:rsid w:val="002615FD"/>
    <w:rsid w:val="00267404"/>
    <w:rsid w:val="00270510"/>
    <w:rsid w:val="0027594A"/>
    <w:rsid w:val="00280A1F"/>
    <w:rsid w:val="00284053"/>
    <w:rsid w:val="00284C7D"/>
    <w:rsid w:val="00287597"/>
    <w:rsid w:val="0029098A"/>
    <w:rsid w:val="002A0D73"/>
    <w:rsid w:val="002A10B3"/>
    <w:rsid w:val="002A50F8"/>
    <w:rsid w:val="002B5E71"/>
    <w:rsid w:val="002C0B44"/>
    <w:rsid w:val="002C6E7B"/>
    <w:rsid w:val="002D03C7"/>
    <w:rsid w:val="002E1806"/>
    <w:rsid w:val="002E2F1B"/>
    <w:rsid w:val="002E7020"/>
    <w:rsid w:val="002E7C04"/>
    <w:rsid w:val="002E7CFE"/>
    <w:rsid w:val="002F3141"/>
    <w:rsid w:val="002F4E48"/>
    <w:rsid w:val="003000F7"/>
    <w:rsid w:val="00300489"/>
    <w:rsid w:val="00305687"/>
    <w:rsid w:val="00317820"/>
    <w:rsid w:val="0033651F"/>
    <w:rsid w:val="00341B74"/>
    <w:rsid w:val="00345D02"/>
    <w:rsid w:val="00350486"/>
    <w:rsid w:val="00353B5C"/>
    <w:rsid w:val="00357999"/>
    <w:rsid w:val="003610DF"/>
    <w:rsid w:val="003632D8"/>
    <w:rsid w:val="00367E65"/>
    <w:rsid w:val="0037151A"/>
    <w:rsid w:val="00373659"/>
    <w:rsid w:val="00385061"/>
    <w:rsid w:val="00390970"/>
    <w:rsid w:val="0039760C"/>
    <w:rsid w:val="003A0F14"/>
    <w:rsid w:val="003A14A9"/>
    <w:rsid w:val="003A39CC"/>
    <w:rsid w:val="003B6E12"/>
    <w:rsid w:val="003C432F"/>
    <w:rsid w:val="003D0437"/>
    <w:rsid w:val="003E3092"/>
    <w:rsid w:val="003E4FAB"/>
    <w:rsid w:val="003E7418"/>
    <w:rsid w:val="003F2B35"/>
    <w:rsid w:val="003F455D"/>
    <w:rsid w:val="004008ED"/>
    <w:rsid w:val="0040458B"/>
    <w:rsid w:val="004054B1"/>
    <w:rsid w:val="00414251"/>
    <w:rsid w:val="004150AE"/>
    <w:rsid w:val="00415139"/>
    <w:rsid w:val="004170EA"/>
    <w:rsid w:val="00417C30"/>
    <w:rsid w:val="004217AB"/>
    <w:rsid w:val="0042460D"/>
    <w:rsid w:val="00425E86"/>
    <w:rsid w:val="00436363"/>
    <w:rsid w:val="00440B5B"/>
    <w:rsid w:val="00454323"/>
    <w:rsid w:val="004545E3"/>
    <w:rsid w:val="00457604"/>
    <w:rsid w:val="00463CBA"/>
    <w:rsid w:val="004707D4"/>
    <w:rsid w:val="00480F17"/>
    <w:rsid w:val="004820F6"/>
    <w:rsid w:val="004858D8"/>
    <w:rsid w:val="00490231"/>
    <w:rsid w:val="004944D1"/>
    <w:rsid w:val="004A1831"/>
    <w:rsid w:val="004A29D8"/>
    <w:rsid w:val="004A6AF9"/>
    <w:rsid w:val="004B2E41"/>
    <w:rsid w:val="004B5B90"/>
    <w:rsid w:val="004B5BA2"/>
    <w:rsid w:val="004B62CB"/>
    <w:rsid w:val="004B6C30"/>
    <w:rsid w:val="004B71BD"/>
    <w:rsid w:val="004B746F"/>
    <w:rsid w:val="004C22A4"/>
    <w:rsid w:val="004C37DF"/>
    <w:rsid w:val="004C41E1"/>
    <w:rsid w:val="004D37EA"/>
    <w:rsid w:val="004D7367"/>
    <w:rsid w:val="004D7A7A"/>
    <w:rsid w:val="004E143A"/>
    <w:rsid w:val="004E3F8E"/>
    <w:rsid w:val="004E4191"/>
    <w:rsid w:val="004F3F73"/>
    <w:rsid w:val="0050043B"/>
    <w:rsid w:val="00510827"/>
    <w:rsid w:val="0051230E"/>
    <w:rsid w:val="00516581"/>
    <w:rsid w:val="00516994"/>
    <w:rsid w:val="00517889"/>
    <w:rsid w:val="00525139"/>
    <w:rsid w:val="00536C37"/>
    <w:rsid w:val="00537372"/>
    <w:rsid w:val="00537510"/>
    <w:rsid w:val="005503C8"/>
    <w:rsid w:val="005525E7"/>
    <w:rsid w:val="0055517B"/>
    <w:rsid w:val="00556822"/>
    <w:rsid w:val="00557F9C"/>
    <w:rsid w:val="00571FFE"/>
    <w:rsid w:val="00572AC1"/>
    <w:rsid w:val="00576377"/>
    <w:rsid w:val="00582E75"/>
    <w:rsid w:val="00583652"/>
    <w:rsid w:val="00585E9A"/>
    <w:rsid w:val="005A01A8"/>
    <w:rsid w:val="005A1FF7"/>
    <w:rsid w:val="005A3493"/>
    <w:rsid w:val="005B06F2"/>
    <w:rsid w:val="005C0CED"/>
    <w:rsid w:val="005C480E"/>
    <w:rsid w:val="005C65C5"/>
    <w:rsid w:val="005D152C"/>
    <w:rsid w:val="005D3867"/>
    <w:rsid w:val="005D71CE"/>
    <w:rsid w:val="005D7357"/>
    <w:rsid w:val="005E33F2"/>
    <w:rsid w:val="005F6F3D"/>
    <w:rsid w:val="005F73BC"/>
    <w:rsid w:val="00603A17"/>
    <w:rsid w:val="0060755D"/>
    <w:rsid w:val="00610257"/>
    <w:rsid w:val="0061386B"/>
    <w:rsid w:val="00613DFB"/>
    <w:rsid w:val="0061477B"/>
    <w:rsid w:val="0061618D"/>
    <w:rsid w:val="00616971"/>
    <w:rsid w:val="006226DE"/>
    <w:rsid w:val="00626F51"/>
    <w:rsid w:val="006276D8"/>
    <w:rsid w:val="00632D66"/>
    <w:rsid w:val="00637CFC"/>
    <w:rsid w:val="00641F97"/>
    <w:rsid w:val="00642823"/>
    <w:rsid w:val="00643576"/>
    <w:rsid w:val="00646DC4"/>
    <w:rsid w:val="00654D62"/>
    <w:rsid w:val="006572AE"/>
    <w:rsid w:val="00666B58"/>
    <w:rsid w:val="00671F82"/>
    <w:rsid w:val="006724AB"/>
    <w:rsid w:val="00684914"/>
    <w:rsid w:val="0069105F"/>
    <w:rsid w:val="00696797"/>
    <w:rsid w:val="00697752"/>
    <w:rsid w:val="006B1DDF"/>
    <w:rsid w:val="006B2B7A"/>
    <w:rsid w:val="006B5035"/>
    <w:rsid w:val="006C7AF2"/>
    <w:rsid w:val="006E0724"/>
    <w:rsid w:val="006F2C08"/>
    <w:rsid w:val="006F3312"/>
    <w:rsid w:val="006F5FC9"/>
    <w:rsid w:val="00714135"/>
    <w:rsid w:val="007145A6"/>
    <w:rsid w:val="00722E84"/>
    <w:rsid w:val="007377C8"/>
    <w:rsid w:val="00740C1E"/>
    <w:rsid w:val="007430AA"/>
    <w:rsid w:val="00750B43"/>
    <w:rsid w:val="00753894"/>
    <w:rsid w:val="0075508A"/>
    <w:rsid w:val="0075693A"/>
    <w:rsid w:val="00757C82"/>
    <w:rsid w:val="007617B5"/>
    <w:rsid w:val="00766663"/>
    <w:rsid w:val="00776827"/>
    <w:rsid w:val="00776D82"/>
    <w:rsid w:val="007873E5"/>
    <w:rsid w:val="007958EE"/>
    <w:rsid w:val="007B0E44"/>
    <w:rsid w:val="007B0E58"/>
    <w:rsid w:val="007B7A9F"/>
    <w:rsid w:val="007C0A90"/>
    <w:rsid w:val="007C29B7"/>
    <w:rsid w:val="007C599D"/>
    <w:rsid w:val="007D03CE"/>
    <w:rsid w:val="007D2961"/>
    <w:rsid w:val="007E3B1A"/>
    <w:rsid w:val="007E5ADD"/>
    <w:rsid w:val="007E7048"/>
    <w:rsid w:val="007F0575"/>
    <w:rsid w:val="007F2061"/>
    <w:rsid w:val="007F2DC3"/>
    <w:rsid w:val="007F4A18"/>
    <w:rsid w:val="00803815"/>
    <w:rsid w:val="00804625"/>
    <w:rsid w:val="00806A94"/>
    <w:rsid w:val="0081509F"/>
    <w:rsid w:val="00815927"/>
    <w:rsid w:val="0081776C"/>
    <w:rsid w:val="0081787B"/>
    <w:rsid w:val="00817E26"/>
    <w:rsid w:val="0082051C"/>
    <w:rsid w:val="00820C4D"/>
    <w:rsid w:val="008229EB"/>
    <w:rsid w:val="00823A16"/>
    <w:rsid w:val="00831781"/>
    <w:rsid w:val="008355D0"/>
    <w:rsid w:val="008368F6"/>
    <w:rsid w:val="00837DC3"/>
    <w:rsid w:val="00845593"/>
    <w:rsid w:val="00855F69"/>
    <w:rsid w:val="00866C75"/>
    <w:rsid w:val="0087012A"/>
    <w:rsid w:val="008710EF"/>
    <w:rsid w:val="008771EF"/>
    <w:rsid w:val="008822EF"/>
    <w:rsid w:val="00887BFE"/>
    <w:rsid w:val="00890916"/>
    <w:rsid w:val="008927E8"/>
    <w:rsid w:val="0089295B"/>
    <w:rsid w:val="00897188"/>
    <w:rsid w:val="008A0BD4"/>
    <w:rsid w:val="008A1A31"/>
    <w:rsid w:val="008A31F9"/>
    <w:rsid w:val="008B65D1"/>
    <w:rsid w:val="008C10B5"/>
    <w:rsid w:val="008C427A"/>
    <w:rsid w:val="008D1BF4"/>
    <w:rsid w:val="008D2D9D"/>
    <w:rsid w:val="008D378B"/>
    <w:rsid w:val="008D7138"/>
    <w:rsid w:val="00907311"/>
    <w:rsid w:val="0091386A"/>
    <w:rsid w:val="00914391"/>
    <w:rsid w:val="00923502"/>
    <w:rsid w:val="00935812"/>
    <w:rsid w:val="0093645C"/>
    <w:rsid w:val="00940C4D"/>
    <w:rsid w:val="00944D53"/>
    <w:rsid w:val="00946B5A"/>
    <w:rsid w:val="00950D7D"/>
    <w:rsid w:val="00954DF1"/>
    <w:rsid w:val="00956B72"/>
    <w:rsid w:val="00962942"/>
    <w:rsid w:val="00963C3B"/>
    <w:rsid w:val="00974E10"/>
    <w:rsid w:val="00974FC4"/>
    <w:rsid w:val="00982822"/>
    <w:rsid w:val="00987C57"/>
    <w:rsid w:val="009902F3"/>
    <w:rsid w:val="00992D18"/>
    <w:rsid w:val="00996BBA"/>
    <w:rsid w:val="009A280B"/>
    <w:rsid w:val="009A5854"/>
    <w:rsid w:val="009A6F1A"/>
    <w:rsid w:val="009B1A10"/>
    <w:rsid w:val="009B2523"/>
    <w:rsid w:val="009C0CE0"/>
    <w:rsid w:val="009C7E3E"/>
    <w:rsid w:val="009D02C1"/>
    <w:rsid w:val="009D5D0B"/>
    <w:rsid w:val="009D6665"/>
    <w:rsid w:val="009E51CE"/>
    <w:rsid w:val="009F03FE"/>
    <w:rsid w:val="009F3D7A"/>
    <w:rsid w:val="009F4EB4"/>
    <w:rsid w:val="00A01D9E"/>
    <w:rsid w:val="00A0561B"/>
    <w:rsid w:val="00A147CB"/>
    <w:rsid w:val="00A17221"/>
    <w:rsid w:val="00A264F1"/>
    <w:rsid w:val="00A275D9"/>
    <w:rsid w:val="00A3000B"/>
    <w:rsid w:val="00A35505"/>
    <w:rsid w:val="00A4226F"/>
    <w:rsid w:val="00A43E50"/>
    <w:rsid w:val="00A440ED"/>
    <w:rsid w:val="00A44329"/>
    <w:rsid w:val="00A4567A"/>
    <w:rsid w:val="00A55A38"/>
    <w:rsid w:val="00A56128"/>
    <w:rsid w:val="00A57849"/>
    <w:rsid w:val="00A62DA7"/>
    <w:rsid w:val="00A67361"/>
    <w:rsid w:val="00A756C3"/>
    <w:rsid w:val="00A80459"/>
    <w:rsid w:val="00A80AFD"/>
    <w:rsid w:val="00A80DD8"/>
    <w:rsid w:val="00A87712"/>
    <w:rsid w:val="00AA4104"/>
    <w:rsid w:val="00AA7A79"/>
    <w:rsid w:val="00AB6B99"/>
    <w:rsid w:val="00AC1868"/>
    <w:rsid w:val="00AC66D5"/>
    <w:rsid w:val="00AD020C"/>
    <w:rsid w:val="00AE54AD"/>
    <w:rsid w:val="00AF3F1E"/>
    <w:rsid w:val="00B1089C"/>
    <w:rsid w:val="00B11F4F"/>
    <w:rsid w:val="00B131B1"/>
    <w:rsid w:val="00B1646C"/>
    <w:rsid w:val="00B3224C"/>
    <w:rsid w:val="00B4167E"/>
    <w:rsid w:val="00B45B5F"/>
    <w:rsid w:val="00B45FB5"/>
    <w:rsid w:val="00B4714E"/>
    <w:rsid w:val="00B50DDE"/>
    <w:rsid w:val="00B51BC9"/>
    <w:rsid w:val="00B60192"/>
    <w:rsid w:val="00B61E4C"/>
    <w:rsid w:val="00B62B59"/>
    <w:rsid w:val="00B65657"/>
    <w:rsid w:val="00B673D7"/>
    <w:rsid w:val="00B754BC"/>
    <w:rsid w:val="00B75BD7"/>
    <w:rsid w:val="00B90F58"/>
    <w:rsid w:val="00B916BB"/>
    <w:rsid w:val="00B95670"/>
    <w:rsid w:val="00B95996"/>
    <w:rsid w:val="00B971C5"/>
    <w:rsid w:val="00BA012B"/>
    <w:rsid w:val="00BA0B0A"/>
    <w:rsid w:val="00BA2E71"/>
    <w:rsid w:val="00BA4B81"/>
    <w:rsid w:val="00BB14D2"/>
    <w:rsid w:val="00BC668E"/>
    <w:rsid w:val="00BC73B5"/>
    <w:rsid w:val="00BE1767"/>
    <w:rsid w:val="00BE2A1E"/>
    <w:rsid w:val="00BE5D74"/>
    <w:rsid w:val="00BE65B9"/>
    <w:rsid w:val="00BF006A"/>
    <w:rsid w:val="00BF0C81"/>
    <w:rsid w:val="00C05C6D"/>
    <w:rsid w:val="00C112D5"/>
    <w:rsid w:val="00C13255"/>
    <w:rsid w:val="00C13480"/>
    <w:rsid w:val="00C1399F"/>
    <w:rsid w:val="00C22C76"/>
    <w:rsid w:val="00C26C86"/>
    <w:rsid w:val="00C30A80"/>
    <w:rsid w:val="00C3339F"/>
    <w:rsid w:val="00C371AF"/>
    <w:rsid w:val="00C44186"/>
    <w:rsid w:val="00C46D2F"/>
    <w:rsid w:val="00C51128"/>
    <w:rsid w:val="00C51236"/>
    <w:rsid w:val="00C51A2B"/>
    <w:rsid w:val="00C551E5"/>
    <w:rsid w:val="00C5658C"/>
    <w:rsid w:val="00C62988"/>
    <w:rsid w:val="00C741D1"/>
    <w:rsid w:val="00C75C74"/>
    <w:rsid w:val="00C82E54"/>
    <w:rsid w:val="00C83A12"/>
    <w:rsid w:val="00C859DB"/>
    <w:rsid w:val="00C90E1B"/>
    <w:rsid w:val="00C925CC"/>
    <w:rsid w:val="00C92DF5"/>
    <w:rsid w:val="00C9449C"/>
    <w:rsid w:val="00CB2309"/>
    <w:rsid w:val="00CB23A7"/>
    <w:rsid w:val="00CC0A77"/>
    <w:rsid w:val="00CC2181"/>
    <w:rsid w:val="00CC4AE5"/>
    <w:rsid w:val="00CF0475"/>
    <w:rsid w:val="00D034EF"/>
    <w:rsid w:val="00D03E69"/>
    <w:rsid w:val="00D0488C"/>
    <w:rsid w:val="00D04914"/>
    <w:rsid w:val="00D056ED"/>
    <w:rsid w:val="00D134AE"/>
    <w:rsid w:val="00D1458D"/>
    <w:rsid w:val="00D17E5B"/>
    <w:rsid w:val="00D31CB5"/>
    <w:rsid w:val="00D3674C"/>
    <w:rsid w:val="00D3785B"/>
    <w:rsid w:val="00D4520C"/>
    <w:rsid w:val="00D50534"/>
    <w:rsid w:val="00D541D0"/>
    <w:rsid w:val="00D620DA"/>
    <w:rsid w:val="00D638EC"/>
    <w:rsid w:val="00D6485F"/>
    <w:rsid w:val="00D7279E"/>
    <w:rsid w:val="00D773F1"/>
    <w:rsid w:val="00D8484F"/>
    <w:rsid w:val="00D84FDB"/>
    <w:rsid w:val="00D87D1D"/>
    <w:rsid w:val="00D87ECB"/>
    <w:rsid w:val="00D92420"/>
    <w:rsid w:val="00D929A7"/>
    <w:rsid w:val="00DA5BB9"/>
    <w:rsid w:val="00DA63F1"/>
    <w:rsid w:val="00DA65AD"/>
    <w:rsid w:val="00DB0926"/>
    <w:rsid w:val="00DC241C"/>
    <w:rsid w:val="00DC25DB"/>
    <w:rsid w:val="00DD61AB"/>
    <w:rsid w:val="00DE369F"/>
    <w:rsid w:val="00DE6E2D"/>
    <w:rsid w:val="00DF0814"/>
    <w:rsid w:val="00DF6515"/>
    <w:rsid w:val="00DF7E8F"/>
    <w:rsid w:val="00E03D84"/>
    <w:rsid w:val="00E244E6"/>
    <w:rsid w:val="00E2480E"/>
    <w:rsid w:val="00E27434"/>
    <w:rsid w:val="00E35385"/>
    <w:rsid w:val="00E363AF"/>
    <w:rsid w:val="00E51915"/>
    <w:rsid w:val="00E55B9C"/>
    <w:rsid w:val="00E67FE1"/>
    <w:rsid w:val="00E74AFC"/>
    <w:rsid w:val="00E75B2E"/>
    <w:rsid w:val="00E75B3A"/>
    <w:rsid w:val="00E82485"/>
    <w:rsid w:val="00E830E6"/>
    <w:rsid w:val="00E83FB8"/>
    <w:rsid w:val="00E8511C"/>
    <w:rsid w:val="00E90887"/>
    <w:rsid w:val="00EA52C4"/>
    <w:rsid w:val="00EB475C"/>
    <w:rsid w:val="00EC3A87"/>
    <w:rsid w:val="00EC4F19"/>
    <w:rsid w:val="00EE1C06"/>
    <w:rsid w:val="00EE3702"/>
    <w:rsid w:val="00EE398E"/>
    <w:rsid w:val="00EE4B5F"/>
    <w:rsid w:val="00EE582E"/>
    <w:rsid w:val="00EE7B66"/>
    <w:rsid w:val="00EF7BA2"/>
    <w:rsid w:val="00F0408D"/>
    <w:rsid w:val="00F0700C"/>
    <w:rsid w:val="00F07867"/>
    <w:rsid w:val="00F10622"/>
    <w:rsid w:val="00F12931"/>
    <w:rsid w:val="00F135C1"/>
    <w:rsid w:val="00F23A18"/>
    <w:rsid w:val="00F255F7"/>
    <w:rsid w:val="00F3243C"/>
    <w:rsid w:val="00F332C1"/>
    <w:rsid w:val="00F34C50"/>
    <w:rsid w:val="00F35960"/>
    <w:rsid w:val="00F4036D"/>
    <w:rsid w:val="00F41B50"/>
    <w:rsid w:val="00F5212C"/>
    <w:rsid w:val="00F542A1"/>
    <w:rsid w:val="00F54465"/>
    <w:rsid w:val="00F60ABB"/>
    <w:rsid w:val="00F6276F"/>
    <w:rsid w:val="00F66B9C"/>
    <w:rsid w:val="00F71CD6"/>
    <w:rsid w:val="00F742DB"/>
    <w:rsid w:val="00F74369"/>
    <w:rsid w:val="00F77265"/>
    <w:rsid w:val="00F80E33"/>
    <w:rsid w:val="00F858D8"/>
    <w:rsid w:val="00F865EE"/>
    <w:rsid w:val="00F86C2C"/>
    <w:rsid w:val="00FA09E6"/>
    <w:rsid w:val="00FA5BD3"/>
    <w:rsid w:val="00FB2D77"/>
    <w:rsid w:val="00FC2822"/>
    <w:rsid w:val="00FC2A8E"/>
    <w:rsid w:val="00FC3938"/>
    <w:rsid w:val="00FD04FB"/>
    <w:rsid w:val="00FD5372"/>
    <w:rsid w:val="00FD7FD2"/>
    <w:rsid w:val="00FE09FB"/>
    <w:rsid w:val="00FE13E2"/>
    <w:rsid w:val="00FE4619"/>
    <w:rsid w:val="00FE5685"/>
    <w:rsid w:val="00FE5BD8"/>
    <w:rsid w:val="00FE6B6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BB55B"/>
  <w15:docId w15:val="{4B73586E-43D3-41E4-9D28-0459C919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lang w:val="en-US" w:eastAsia="en-US"/>
    </w:rPr>
  </w:style>
  <w:style w:type="paragraph" w:styleId="Heading1">
    <w:name w:val="heading 1"/>
    <w:basedOn w:val="Normal"/>
    <w:next w:val="Normal"/>
    <w:link w:val="Heading1Char"/>
    <w:qFormat/>
    <w:pPr>
      <w:keepNext/>
      <w:outlineLvl w:val="0"/>
    </w:pPr>
    <w:rPr>
      <w:rFonts w:ascii=".VnTimeH" w:hAnsi=".VnTimeH"/>
      <w:b/>
      <w:sz w:val="28"/>
      <w:szCs w:val="20"/>
    </w:rPr>
  </w:style>
  <w:style w:type="paragraph" w:styleId="Heading2">
    <w:name w:val="heading 2"/>
    <w:basedOn w:val="Normal"/>
    <w:next w:val="Normal"/>
    <w:link w:val="Heading2Char"/>
    <w:qFormat/>
    <w:pPr>
      <w:keepNext/>
      <w:jc w:val="center"/>
      <w:outlineLvl w:val="1"/>
    </w:pPr>
    <w:rPr>
      <w:rFonts w:ascii=".VnTime" w:hAnsi=".VnTime"/>
      <w:b/>
      <w:sz w:val="26"/>
    </w:rPr>
  </w:style>
  <w:style w:type="paragraph" w:styleId="Heading3">
    <w:name w:val="heading 3"/>
    <w:basedOn w:val="Normal"/>
    <w:next w:val="Normal"/>
    <w:qFormat/>
    <w:rsid w:val="00C1348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nTimeH" w:eastAsia="Times New Roman" w:hAnsi=".VnTimeH" w:cs="Times New Roman"/>
      <w:b/>
      <w:sz w:val="28"/>
      <w:szCs w:val="20"/>
    </w:rPr>
  </w:style>
  <w:style w:type="character" w:customStyle="1" w:styleId="Heading2Char">
    <w:name w:val="Heading 2 Char"/>
    <w:link w:val="Heading2"/>
    <w:rPr>
      <w:rFonts w:ascii=".VnTime" w:eastAsia="Times New Roman" w:hAnsi=".VnTime" w:cs="Times New Roman"/>
      <w:b/>
      <w:sz w:val="26"/>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eastAsia="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eastAsia="Times New Roman" w:cs="Times New Roman"/>
      <w:sz w:val="24"/>
      <w:szCs w:val="24"/>
    </w:rPr>
  </w:style>
  <w:style w:type="paragraph" w:styleId="NormalWeb">
    <w:name w:val="Normal (Web)"/>
    <w:basedOn w:val="Normal"/>
    <w:uiPriority w:val="99"/>
    <w:pPr>
      <w:spacing w:before="100" w:beforeAutospacing="1" w:after="100" w:afterAutospacing="1"/>
    </w:pPr>
  </w:style>
  <w:style w:type="paragraph" w:customStyle="1" w:styleId="Char">
    <w:name w:val="Char"/>
    <w:autoRedefine/>
    <w:pPr>
      <w:tabs>
        <w:tab w:val="left" w:pos="1152"/>
      </w:tabs>
      <w:spacing w:before="120" w:after="120" w:line="312" w:lineRule="auto"/>
    </w:pPr>
    <w:rPr>
      <w:rFonts w:ascii="Arial" w:eastAsia="Times New Roman" w:hAnsi="Arial" w:cs="Arial"/>
      <w:sz w:val="26"/>
      <w:szCs w:val="26"/>
      <w:lang w:val="en-US" w:eastAsia="en-US"/>
    </w:rPr>
  </w:style>
  <w:style w:type="paragraph" w:customStyle="1" w:styleId="Char4CharCharCharCharCharCharCharCharCharCharCharCharCharCharCharCharCharCharCharCharCharCharCharChar">
    <w:name w:val="Char4 Char Char Char Char Char Char Char Char Char Char Char Char Char Char Char Char Char Char Char Char Char Char Char Char"/>
    <w:basedOn w:val="Normal"/>
    <w:pPr>
      <w:spacing w:after="160" w:line="240" w:lineRule="exact"/>
    </w:pPr>
    <w:rPr>
      <w:rFonts w:ascii="Verdana" w:hAnsi="Verdana"/>
      <w:sz w:val="20"/>
      <w:szCs w:val="20"/>
    </w:rPr>
  </w:style>
  <w:style w:type="table" w:styleId="TableGrid">
    <w:name w:val="Table Grid"/>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Emphasis">
    <w:name w:val="Emphasis"/>
    <w:uiPriority w:val="20"/>
    <w:qFormat/>
    <w:rPr>
      <w:i/>
      <w:iCs/>
    </w:rPr>
  </w:style>
  <w:style w:type="paragraph" w:customStyle="1" w:styleId="Char4CharCharCharCharCharCharCharCharCharCharCharCharCharCharCharCharCharCharCharCharCharCharCharChar0">
    <w:name w:val="Char4 Char Char Char Char Char Char Char Char Char Char Char Char Char Char Char Char Char Char Char Char Char Char Char Char"/>
    <w:basedOn w:val="Normal"/>
    <w:rsid w:val="00267404"/>
    <w:pPr>
      <w:spacing w:after="160" w:line="240" w:lineRule="exact"/>
    </w:pPr>
    <w:rPr>
      <w:rFonts w:ascii="Verdana" w:hAnsi="Verdana"/>
      <w:sz w:val="20"/>
      <w:szCs w:val="20"/>
    </w:rPr>
  </w:style>
  <w:style w:type="paragraph" w:customStyle="1" w:styleId="CharCharCharCharCharCharChar">
    <w:name w:val="Char Char Char Char Char Char Char"/>
    <w:basedOn w:val="Normal"/>
    <w:semiHidden/>
    <w:rsid w:val="009A5854"/>
    <w:pPr>
      <w:spacing w:after="160" w:line="240" w:lineRule="exact"/>
    </w:pPr>
    <w:rPr>
      <w:rFonts w:ascii="Arial" w:hAnsi="Arial"/>
      <w:sz w:val="22"/>
      <w:szCs w:val="22"/>
    </w:rPr>
  </w:style>
  <w:style w:type="character" w:customStyle="1" w:styleId="normal-h">
    <w:name w:val="normal-h"/>
    <w:basedOn w:val="DefaultParagraphFont"/>
    <w:rsid w:val="009A5854"/>
  </w:style>
  <w:style w:type="paragraph" w:customStyle="1" w:styleId="normal-p">
    <w:name w:val="normal-p"/>
    <w:basedOn w:val="Normal"/>
    <w:rsid w:val="009A5854"/>
    <w:pPr>
      <w:spacing w:before="100" w:beforeAutospacing="1" w:after="100" w:afterAutospacing="1"/>
    </w:pPr>
  </w:style>
  <w:style w:type="character" w:styleId="Hyperlink">
    <w:name w:val="Hyperlink"/>
    <w:uiPriority w:val="99"/>
    <w:unhideWhenUsed/>
    <w:rsid w:val="00FD7FD2"/>
    <w:rPr>
      <w:color w:val="0000FF"/>
      <w:u w:val="single"/>
    </w:rPr>
  </w:style>
  <w:style w:type="paragraph" w:customStyle="1" w:styleId="Char1CharCharChar1CharCharChar">
    <w:name w:val="Char1 Char Char Char1 Char Char Char"/>
    <w:basedOn w:val="Normal"/>
    <w:rsid w:val="000B2627"/>
    <w:pPr>
      <w:spacing w:after="160" w:line="240" w:lineRule="exact"/>
    </w:pPr>
    <w:rPr>
      <w:rFonts w:ascii="Verdana" w:hAnsi="Verdana"/>
      <w:sz w:val="20"/>
      <w:szCs w:val="20"/>
    </w:rPr>
  </w:style>
  <w:style w:type="paragraph" w:styleId="BalloonText">
    <w:name w:val="Balloon Text"/>
    <w:basedOn w:val="Normal"/>
    <w:link w:val="BalloonTextChar"/>
    <w:uiPriority w:val="99"/>
    <w:semiHidden/>
    <w:unhideWhenUsed/>
    <w:rsid w:val="009B2523"/>
    <w:rPr>
      <w:rFonts w:ascii="Segoe UI" w:hAnsi="Segoe UI"/>
      <w:sz w:val="18"/>
      <w:szCs w:val="18"/>
    </w:rPr>
  </w:style>
  <w:style w:type="character" w:customStyle="1" w:styleId="BalloonTextChar">
    <w:name w:val="Balloon Text Char"/>
    <w:link w:val="BalloonText"/>
    <w:uiPriority w:val="99"/>
    <w:semiHidden/>
    <w:rsid w:val="009B2523"/>
    <w:rPr>
      <w:rFonts w:ascii="Segoe UI" w:eastAsia="Times New Roman" w:hAnsi="Segoe UI" w:cs="Segoe UI"/>
      <w:sz w:val="18"/>
      <w:szCs w:val="18"/>
    </w:rPr>
  </w:style>
  <w:style w:type="character" w:customStyle="1" w:styleId="doclink">
    <w:name w:val="doclink"/>
    <w:rsid w:val="004820F6"/>
  </w:style>
  <w:style w:type="paragraph" w:customStyle="1" w:styleId="Char4">
    <w:name w:val="Char4"/>
    <w:basedOn w:val="Normal"/>
    <w:semiHidden/>
    <w:rsid w:val="000B096F"/>
    <w:pPr>
      <w:spacing w:after="160" w:line="240" w:lineRule="exact"/>
    </w:pPr>
    <w:rPr>
      <w:rFonts w:ascii="Arial" w:hAnsi="Arial" w:cs="Arial"/>
      <w:sz w:val="22"/>
      <w:szCs w:val="22"/>
    </w:rPr>
  </w:style>
  <w:style w:type="paragraph" w:styleId="BodyText">
    <w:name w:val="Body Text"/>
    <w:basedOn w:val="Normal"/>
    <w:link w:val="BodyTextChar"/>
    <w:rsid w:val="007F0575"/>
    <w:pPr>
      <w:jc w:val="both"/>
    </w:pPr>
    <w:rPr>
      <w:sz w:val="28"/>
    </w:rPr>
  </w:style>
  <w:style w:type="character" w:customStyle="1" w:styleId="BodyTextChar">
    <w:name w:val="Body Text Char"/>
    <w:basedOn w:val="DefaultParagraphFont"/>
    <w:link w:val="BodyText"/>
    <w:rsid w:val="007F0575"/>
    <w:rPr>
      <w:rFonts w:eastAsia="Times New Roman"/>
      <w:sz w:val="28"/>
      <w:szCs w:val="24"/>
      <w:lang w:val="en-US" w:eastAsia="en-US"/>
    </w:rPr>
  </w:style>
  <w:style w:type="paragraph" w:styleId="ListParagraph">
    <w:name w:val="List Paragraph"/>
    <w:basedOn w:val="Normal"/>
    <w:uiPriority w:val="34"/>
    <w:qFormat/>
    <w:rsid w:val="007F0575"/>
    <w:pPr>
      <w:ind w:left="720"/>
      <w:contextualSpacing/>
    </w:pPr>
  </w:style>
  <w:style w:type="character" w:customStyle="1" w:styleId="BodyTextChar1">
    <w:name w:val="Body Text Char1"/>
    <w:uiPriority w:val="99"/>
    <w:rsid w:val="00556822"/>
    <w:rPr>
      <w:sz w:val="26"/>
      <w:szCs w:val="26"/>
      <w:shd w:val="clear" w:color="auto" w:fill="FFFFFF"/>
    </w:rPr>
  </w:style>
  <w:style w:type="character" w:styleId="CommentReference">
    <w:name w:val="annotation reference"/>
    <w:rsid w:val="00B50DDE"/>
    <w:rPr>
      <w:sz w:val="16"/>
      <w:szCs w:val="16"/>
    </w:rPr>
  </w:style>
  <w:style w:type="paragraph" w:styleId="CommentText">
    <w:name w:val="annotation text"/>
    <w:basedOn w:val="Normal"/>
    <w:link w:val="CommentTextChar"/>
    <w:rsid w:val="00B50DDE"/>
    <w:rPr>
      <w:sz w:val="20"/>
      <w:szCs w:val="20"/>
    </w:rPr>
  </w:style>
  <w:style w:type="character" w:customStyle="1" w:styleId="CommentTextChar">
    <w:name w:val="Comment Text Char"/>
    <w:basedOn w:val="DefaultParagraphFont"/>
    <w:link w:val="CommentText"/>
    <w:rsid w:val="00B50DDE"/>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6F2C08"/>
    <w:rPr>
      <w:b/>
      <w:bCs/>
    </w:rPr>
  </w:style>
  <w:style w:type="character" w:customStyle="1" w:styleId="CommentSubjectChar">
    <w:name w:val="Comment Subject Char"/>
    <w:basedOn w:val="CommentTextChar"/>
    <w:link w:val="CommentSubject"/>
    <w:uiPriority w:val="99"/>
    <w:semiHidden/>
    <w:rsid w:val="006F2C08"/>
    <w:rPr>
      <w:rFonts w:eastAsia="Times New Roman"/>
      <w:b/>
      <w:bCs/>
      <w:lang w:val="en-US" w:eastAsia="en-US"/>
    </w:rPr>
  </w:style>
  <w:style w:type="character" w:customStyle="1" w:styleId="fontstyle01">
    <w:name w:val="fontstyle01"/>
    <w:basedOn w:val="DefaultParagraphFont"/>
    <w:rsid w:val="008229EB"/>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311828">
      <w:bodyDiv w:val="1"/>
      <w:marLeft w:val="0"/>
      <w:marRight w:val="0"/>
      <w:marTop w:val="0"/>
      <w:marBottom w:val="0"/>
      <w:divBdr>
        <w:top w:val="none" w:sz="0" w:space="0" w:color="auto"/>
        <w:left w:val="none" w:sz="0" w:space="0" w:color="auto"/>
        <w:bottom w:val="none" w:sz="0" w:space="0" w:color="auto"/>
        <w:right w:val="none" w:sz="0" w:space="0" w:color="auto"/>
      </w:divBdr>
      <w:divsChild>
        <w:div w:id="1554804370">
          <w:marLeft w:val="0"/>
          <w:marRight w:val="0"/>
          <w:marTop w:val="0"/>
          <w:marBottom w:val="0"/>
          <w:divBdr>
            <w:top w:val="none" w:sz="0" w:space="0" w:color="auto"/>
            <w:left w:val="none" w:sz="0" w:space="0" w:color="auto"/>
            <w:bottom w:val="none" w:sz="0" w:space="0" w:color="auto"/>
            <w:right w:val="none" w:sz="0" w:space="0" w:color="auto"/>
          </w:divBdr>
          <w:divsChild>
            <w:div w:id="239945055">
              <w:marLeft w:val="0"/>
              <w:marRight w:val="0"/>
              <w:marTop w:val="0"/>
              <w:marBottom w:val="0"/>
              <w:divBdr>
                <w:top w:val="none" w:sz="0" w:space="0" w:color="auto"/>
                <w:left w:val="none" w:sz="0" w:space="0" w:color="auto"/>
                <w:bottom w:val="none" w:sz="0" w:space="0" w:color="auto"/>
                <w:right w:val="none" w:sz="0" w:space="0" w:color="auto"/>
              </w:divBdr>
              <w:divsChild>
                <w:div w:id="1572886371">
                  <w:marLeft w:val="0"/>
                  <w:marRight w:val="0"/>
                  <w:marTop w:val="0"/>
                  <w:marBottom w:val="0"/>
                  <w:divBdr>
                    <w:top w:val="none" w:sz="0" w:space="0" w:color="auto"/>
                    <w:left w:val="none" w:sz="0" w:space="0" w:color="auto"/>
                    <w:bottom w:val="none" w:sz="0" w:space="0" w:color="auto"/>
                    <w:right w:val="none" w:sz="0" w:space="0" w:color="auto"/>
                  </w:divBdr>
                  <w:divsChild>
                    <w:div w:id="1957365192">
                      <w:marLeft w:val="0"/>
                      <w:marRight w:val="0"/>
                      <w:marTop w:val="0"/>
                      <w:marBottom w:val="0"/>
                      <w:divBdr>
                        <w:top w:val="none" w:sz="0" w:space="0" w:color="auto"/>
                        <w:left w:val="none" w:sz="0" w:space="0" w:color="auto"/>
                        <w:bottom w:val="none" w:sz="0" w:space="0" w:color="auto"/>
                        <w:right w:val="none" w:sz="0" w:space="0" w:color="auto"/>
                      </w:divBdr>
                      <w:divsChild>
                        <w:div w:id="607616796">
                          <w:marLeft w:val="0"/>
                          <w:marRight w:val="0"/>
                          <w:marTop w:val="0"/>
                          <w:marBottom w:val="0"/>
                          <w:divBdr>
                            <w:top w:val="none" w:sz="0" w:space="0" w:color="auto"/>
                            <w:left w:val="none" w:sz="0" w:space="0" w:color="auto"/>
                            <w:bottom w:val="none" w:sz="0" w:space="0" w:color="auto"/>
                            <w:right w:val="none" w:sz="0" w:space="0" w:color="auto"/>
                          </w:divBdr>
                          <w:divsChild>
                            <w:div w:id="1924755668">
                              <w:marLeft w:val="-75"/>
                              <w:marRight w:val="0"/>
                              <w:marTop w:val="0"/>
                              <w:marBottom w:val="0"/>
                              <w:divBdr>
                                <w:top w:val="none" w:sz="0" w:space="0" w:color="auto"/>
                                <w:left w:val="none" w:sz="0" w:space="0" w:color="auto"/>
                                <w:bottom w:val="none" w:sz="0" w:space="0" w:color="auto"/>
                                <w:right w:val="none" w:sz="0" w:space="0" w:color="auto"/>
                              </w:divBdr>
                              <w:divsChild>
                                <w:div w:id="1587884649">
                                  <w:marLeft w:val="0"/>
                                  <w:marRight w:val="0"/>
                                  <w:marTop w:val="45"/>
                                  <w:marBottom w:val="0"/>
                                  <w:divBdr>
                                    <w:top w:val="none" w:sz="0" w:space="0" w:color="auto"/>
                                    <w:left w:val="none" w:sz="0" w:space="0" w:color="auto"/>
                                    <w:bottom w:val="none" w:sz="0" w:space="0" w:color="auto"/>
                                    <w:right w:val="none" w:sz="0" w:space="0" w:color="auto"/>
                                  </w:divBdr>
                                  <w:divsChild>
                                    <w:div w:id="442456723">
                                      <w:marLeft w:val="0"/>
                                      <w:marRight w:val="0"/>
                                      <w:marTop w:val="0"/>
                                      <w:marBottom w:val="0"/>
                                      <w:divBdr>
                                        <w:top w:val="none" w:sz="0" w:space="0" w:color="auto"/>
                                        <w:left w:val="none" w:sz="0" w:space="0" w:color="auto"/>
                                        <w:bottom w:val="none" w:sz="0" w:space="0" w:color="auto"/>
                                        <w:right w:val="none" w:sz="0" w:space="0" w:color="auto"/>
                                      </w:divBdr>
                                      <w:divsChild>
                                        <w:div w:id="805315647">
                                          <w:marLeft w:val="0"/>
                                          <w:marRight w:val="0"/>
                                          <w:marTop w:val="0"/>
                                          <w:marBottom w:val="0"/>
                                          <w:divBdr>
                                            <w:top w:val="none" w:sz="0" w:space="0" w:color="auto"/>
                                            <w:left w:val="none" w:sz="0" w:space="0" w:color="auto"/>
                                            <w:bottom w:val="none" w:sz="0" w:space="0" w:color="auto"/>
                                            <w:right w:val="none" w:sz="0" w:space="0" w:color="auto"/>
                                          </w:divBdr>
                                          <w:divsChild>
                                            <w:div w:id="7086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3054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DDF96-4098-48F2-A3E1-3BB535F6857E}">
  <ds:schemaRefs>
    <ds:schemaRef ds:uri="http://schemas.microsoft.com/sharepoint/v3/contenttype/forms"/>
  </ds:schemaRefs>
</ds:datastoreItem>
</file>

<file path=customXml/itemProps2.xml><?xml version="1.0" encoding="utf-8"?>
<ds:datastoreItem xmlns:ds="http://schemas.openxmlformats.org/officeDocument/2006/customXml" ds:itemID="{EC6E13E2-904D-4E51-953C-7CC8B5935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83509A0-2035-4B97-B96B-73092FD04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Pages>
  <Words>2394</Words>
  <Characters>13652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UỶ BAN NHÂN DÂN</vt:lpstr>
    </vt:vector>
  </TitlesOfParts>
  <Company>Microsoft</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User</dc:creator>
  <cp:lastModifiedBy>ACB</cp:lastModifiedBy>
  <cp:revision>45</cp:revision>
  <cp:lastPrinted>2023-07-04T02:14:00Z</cp:lastPrinted>
  <dcterms:created xsi:type="dcterms:W3CDTF">2023-10-30T13:03:00Z</dcterms:created>
  <dcterms:modified xsi:type="dcterms:W3CDTF">2026-01-29T09:48:00Z</dcterms:modified>
</cp:coreProperties>
</file>