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41" w:type="pct"/>
        <w:tblInd w:w="-993" w:type="dxa"/>
        <w:tblCellMar>
          <w:left w:w="0" w:type="dxa"/>
          <w:right w:w="0" w:type="dxa"/>
        </w:tblCellMar>
        <w:tblLook w:val="0000" w:firstRow="0" w:lastRow="0" w:firstColumn="0" w:lastColumn="0" w:noHBand="0" w:noVBand="0"/>
      </w:tblPr>
      <w:tblGrid>
        <w:gridCol w:w="4962"/>
        <w:gridCol w:w="5779"/>
      </w:tblGrid>
      <w:tr w:rsidR="00651EC4" w:rsidRPr="00AA4BE0" w14:paraId="44497A68" w14:textId="77777777" w:rsidTr="008F3032">
        <w:tc>
          <w:tcPr>
            <w:tcW w:w="2310" w:type="pct"/>
            <w:shd w:val="clear" w:color="000000" w:fill="FFFFFF"/>
          </w:tcPr>
          <w:p w14:paraId="00D279F8" w14:textId="28DC6C95" w:rsidR="00946AE6" w:rsidRPr="00AA4BE0" w:rsidRDefault="006F2A1E" w:rsidP="00946AE6">
            <w:pPr>
              <w:autoSpaceDE w:val="0"/>
              <w:autoSpaceDN w:val="0"/>
              <w:adjustRightInd w:val="0"/>
              <w:jc w:val="center"/>
              <w:rPr>
                <w:rFonts w:ascii="Times New Roman" w:hAnsi="Times New Roman" w:cs="Times New Roman"/>
                <w:sz w:val="28"/>
                <w:szCs w:val="28"/>
              </w:rPr>
            </w:pPr>
            <w:r w:rsidRPr="00AA4BE0">
              <w:rPr>
                <w:rFonts w:ascii="Times New Roman" w:hAnsi="Times New Roman" w:cs="Times New Roman"/>
                <w:sz w:val="28"/>
                <w:szCs w:val="28"/>
              </w:rPr>
              <w:t>UBND TỈNH ĐỒNG NAI</w:t>
            </w:r>
          </w:p>
          <w:p w14:paraId="2F296CBD" w14:textId="3627F980" w:rsidR="00574849" w:rsidRPr="00AA4BE0" w:rsidRDefault="006F2A1E" w:rsidP="00946AE6">
            <w:pPr>
              <w:autoSpaceDE w:val="0"/>
              <w:autoSpaceDN w:val="0"/>
              <w:adjustRightInd w:val="0"/>
              <w:jc w:val="center"/>
              <w:rPr>
                <w:rFonts w:ascii="Times New Roman" w:hAnsi="Times New Roman" w:cs="Times New Roman"/>
                <w:sz w:val="28"/>
                <w:szCs w:val="28"/>
                <w:lang w:val="vi-VN"/>
              </w:rPr>
            </w:pPr>
            <w:r w:rsidRPr="00AA4BE0">
              <w:rPr>
                <w:rFonts w:ascii="Times New Roman" w:hAnsi="Times New Roman" w:cs="Times New Roman"/>
                <w:b/>
                <w:bCs/>
                <w:sz w:val="28"/>
                <w:szCs w:val="28"/>
              </w:rPr>
              <mc:AlternateContent>
                <mc:Choice Requires="wps">
                  <w:drawing>
                    <wp:anchor distT="0" distB="0" distL="114300" distR="114300" simplePos="0" relativeHeight="251660288" behindDoc="0" locked="0" layoutInCell="1" allowOverlap="1" wp14:anchorId="369B6763" wp14:editId="5660AFF1">
                      <wp:simplePos x="0" y="0"/>
                      <wp:positionH relativeFrom="column">
                        <wp:posOffset>1033992</wp:posOffset>
                      </wp:positionH>
                      <wp:positionV relativeFrom="paragraph">
                        <wp:posOffset>211878</wp:posOffset>
                      </wp:positionV>
                      <wp:extent cx="1075266" cy="0"/>
                      <wp:effectExtent l="0" t="0" r="0" b="0"/>
                      <wp:wrapNone/>
                      <wp:docPr id="398354256" name="Straight Connector 1"/>
                      <wp:cNvGraphicFramePr/>
                      <a:graphic xmlns:a="http://schemas.openxmlformats.org/drawingml/2006/main">
                        <a:graphicData uri="http://schemas.microsoft.com/office/word/2010/wordprocessingShape">
                          <wps:wsp>
                            <wps:cNvCnPr/>
                            <wps:spPr>
                              <a:xfrm>
                                <a:off x="0" y="0"/>
                                <a:ext cx="1075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D1D4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4pt,16.7pt" to="166.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iKmA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" strokecolor="black [3200]" strokeweight=".5pt">
                      <v:stroke joinstyle="miter"/>
                    </v:line>
                  </w:pict>
                </mc:Fallback>
              </mc:AlternateContent>
            </w:r>
            <w:r w:rsidR="00F47BC4" w:rsidRPr="00AA4BE0">
              <w:rPr>
                <w:rFonts w:ascii="Times New Roman" w:hAnsi="Times New Roman" w:cs="Times New Roman"/>
                <w:b/>
                <w:bCs/>
                <w:sz w:val="28"/>
                <w:szCs w:val="28"/>
              </w:rPr>
              <w:t>S</w:t>
            </w:r>
            <w:r w:rsidR="00F47BC4" w:rsidRPr="00AA4BE0">
              <w:rPr>
                <w:rFonts w:ascii="Times New Roman" w:hAnsi="Times New Roman" w:cs="Times New Roman"/>
                <w:b/>
                <w:bCs/>
                <w:sz w:val="28"/>
                <w:szCs w:val="28"/>
                <w:lang w:val="vi-VN"/>
              </w:rPr>
              <w:t>Ở KHOA HỌC VÀ CÔNG NGHỆ</w:t>
            </w:r>
            <w:r w:rsidR="00574849" w:rsidRPr="00AA4BE0">
              <w:rPr>
                <w:rFonts w:ascii="Times New Roman" w:hAnsi="Times New Roman" w:cs="Times New Roman"/>
                <w:b/>
                <w:bCs/>
                <w:sz w:val="28"/>
                <w:szCs w:val="28"/>
              </w:rPr>
              <w:br/>
            </w:r>
          </w:p>
        </w:tc>
        <w:tc>
          <w:tcPr>
            <w:tcW w:w="2690" w:type="pct"/>
            <w:shd w:val="clear" w:color="000000" w:fill="FFFFFF"/>
          </w:tcPr>
          <w:p w14:paraId="633D5DEF" w14:textId="21DAF433" w:rsidR="00574849" w:rsidRPr="00AA4BE0" w:rsidRDefault="006F2A1E" w:rsidP="00946AE6">
            <w:pPr>
              <w:autoSpaceDE w:val="0"/>
              <w:autoSpaceDN w:val="0"/>
              <w:adjustRightInd w:val="0"/>
              <w:jc w:val="center"/>
              <w:rPr>
                <w:rFonts w:ascii="Times New Roman" w:hAnsi="Times New Roman" w:cs="Times New Roman"/>
                <w:sz w:val="28"/>
                <w:szCs w:val="28"/>
                <w:lang w:val="vi-VN"/>
              </w:rPr>
            </w:pPr>
            <w:r w:rsidRPr="00AA4BE0">
              <w:rPr>
                <w:rFonts w:ascii="Times New Roman" w:hAnsi="Times New Roman" w:cs="Times New Roman"/>
                <w:b/>
                <w:bCs/>
                <w:sz w:val="28"/>
                <w:szCs w:val="28"/>
                <w:lang w:val="vi-VN"/>
              </w:rPr>
              <mc:AlternateContent>
                <mc:Choice Requires="wps">
                  <w:drawing>
                    <wp:anchor distT="0" distB="0" distL="114300" distR="114300" simplePos="0" relativeHeight="251661312" behindDoc="0" locked="0" layoutInCell="1" allowOverlap="1" wp14:anchorId="67D70358" wp14:editId="21479AC4">
                      <wp:simplePos x="0" y="0"/>
                      <wp:positionH relativeFrom="column">
                        <wp:posOffset>850688</wp:posOffset>
                      </wp:positionH>
                      <wp:positionV relativeFrom="paragraph">
                        <wp:posOffset>384810</wp:posOffset>
                      </wp:positionV>
                      <wp:extent cx="1981200" cy="0"/>
                      <wp:effectExtent l="0" t="0" r="0" b="0"/>
                      <wp:wrapNone/>
                      <wp:docPr id="1611118426"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3F31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pt,30.3pt" to="22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" strokecolor="black [3200]" strokeweight=".5pt">
                      <v:stroke joinstyle="miter"/>
                    </v:line>
                  </w:pict>
                </mc:Fallback>
              </mc:AlternateContent>
            </w:r>
            <w:r w:rsidR="00574849" w:rsidRPr="00AA4BE0">
              <w:rPr>
                <w:rFonts w:ascii="Times New Roman" w:hAnsi="Times New Roman" w:cs="Times New Roman"/>
                <w:b/>
                <w:bCs/>
                <w:sz w:val="28"/>
                <w:szCs w:val="28"/>
                <w:lang w:val="vi-VN"/>
              </w:rPr>
              <w:t>CỘNG HÒA XÃ HỘI CHỦ NGHĨA VIỆT NAM</w:t>
            </w:r>
            <w:r w:rsidR="00574849" w:rsidRPr="00AA4BE0">
              <w:rPr>
                <w:rFonts w:ascii="Times New Roman" w:hAnsi="Times New Roman" w:cs="Times New Roman"/>
                <w:b/>
                <w:bCs/>
                <w:sz w:val="28"/>
                <w:szCs w:val="28"/>
                <w:lang w:val="vi-VN"/>
              </w:rPr>
              <w:br/>
              <w:t xml:space="preserve">Độc lập - Tự do - Hạnh phúc </w:t>
            </w:r>
            <w:r w:rsidR="00574849" w:rsidRPr="00AA4BE0">
              <w:rPr>
                <w:rFonts w:ascii="Times New Roman" w:hAnsi="Times New Roman" w:cs="Times New Roman"/>
                <w:b/>
                <w:bCs/>
                <w:sz w:val="28"/>
                <w:szCs w:val="28"/>
                <w:lang w:val="vi-VN"/>
              </w:rPr>
              <w:br/>
            </w:r>
          </w:p>
        </w:tc>
      </w:tr>
      <w:tr w:rsidR="00651EC4" w:rsidRPr="00AA4BE0" w14:paraId="03EB802C" w14:textId="77777777" w:rsidTr="008F3032">
        <w:tc>
          <w:tcPr>
            <w:tcW w:w="2310" w:type="pct"/>
            <w:shd w:val="clear" w:color="000000" w:fill="FFFFFF"/>
          </w:tcPr>
          <w:p w14:paraId="51E9C6CA" w14:textId="77777777" w:rsidR="00574849" w:rsidRPr="00AA4BE0" w:rsidRDefault="00574849" w:rsidP="003654B0">
            <w:pPr>
              <w:autoSpaceDE w:val="0"/>
              <w:autoSpaceDN w:val="0"/>
              <w:adjustRightInd w:val="0"/>
              <w:spacing w:before="120"/>
              <w:jc w:val="center"/>
              <w:rPr>
                <w:rFonts w:ascii="Times New Roman" w:hAnsi="Times New Roman" w:cs="Times New Roman"/>
                <w:b/>
                <w:bCs/>
                <w:sz w:val="28"/>
                <w:szCs w:val="28"/>
                <w:lang w:val="vi-VN"/>
              </w:rPr>
            </w:pPr>
          </w:p>
        </w:tc>
        <w:tc>
          <w:tcPr>
            <w:tcW w:w="2690" w:type="pct"/>
            <w:shd w:val="clear" w:color="000000" w:fill="FFFFFF"/>
          </w:tcPr>
          <w:p w14:paraId="107C1983" w14:textId="31E29958" w:rsidR="00574849" w:rsidRPr="00AA4BE0" w:rsidRDefault="006F2A1E" w:rsidP="003654B0">
            <w:pPr>
              <w:autoSpaceDE w:val="0"/>
              <w:autoSpaceDN w:val="0"/>
              <w:adjustRightInd w:val="0"/>
              <w:spacing w:before="120"/>
              <w:jc w:val="center"/>
              <w:rPr>
                <w:rFonts w:ascii="Times New Roman" w:hAnsi="Times New Roman" w:cs="Times New Roman"/>
                <w:b/>
                <w:bCs/>
                <w:sz w:val="28"/>
                <w:szCs w:val="28"/>
                <w:lang w:val="vi-VN"/>
              </w:rPr>
            </w:pPr>
            <w:r w:rsidRPr="00AA4BE0">
              <w:rPr>
                <w:rFonts w:ascii="Times New Roman" w:hAnsi="Times New Roman" w:cs="Times New Roman"/>
                <w:i/>
                <w:iCs/>
                <w:sz w:val="28"/>
                <w:szCs w:val="28"/>
              </w:rPr>
              <w:t xml:space="preserve">Đồng Nai </w:t>
            </w:r>
            <w:r w:rsidR="00574849" w:rsidRPr="00AA4BE0">
              <w:rPr>
                <w:rFonts w:ascii="Times New Roman" w:hAnsi="Times New Roman" w:cs="Times New Roman"/>
                <w:i/>
                <w:iCs/>
                <w:sz w:val="28"/>
                <w:szCs w:val="28"/>
                <w:lang w:val="vi-VN"/>
              </w:rPr>
              <w:t>, ngày</w:t>
            </w:r>
            <w:r w:rsidR="00946AE6" w:rsidRPr="00AA4BE0">
              <w:rPr>
                <w:rFonts w:ascii="Times New Roman" w:hAnsi="Times New Roman" w:cs="Times New Roman"/>
                <w:i/>
                <w:iCs/>
                <w:sz w:val="28"/>
                <w:szCs w:val="28"/>
                <w:lang w:val="vi-VN"/>
              </w:rPr>
              <w:t xml:space="preserve">      </w:t>
            </w:r>
            <w:r w:rsidR="00574849" w:rsidRPr="00AA4BE0">
              <w:rPr>
                <w:rFonts w:ascii="Times New Roman" w:hAnsi="Times New Roman" w:cs="Times New Roman"/>
                <w:i/>
                <w:iCs/>
                <w:sz w:val="28"/>
                <w:szCs w:val="28"/>
                <w:lang w:val="vi-VN"/>
              </w:rPr>
              <w:t>tháng</w:t>
            </w:r>
            <w:r w:rsidR="00946AE6" w:rsidRPr="00AA4BE0">
              <w:rPr>
                <w:rFonts w:ascii="Times New Roman" w:hAnsi="Times New Roman" w:cs="Times New Roman"/>
                <w:i/>
                <w:iCs/>
                <w:sz w:val="28"/>
                <w:szCs w:val="28"/>
                <w:lang w:val="vi-VN"/>
              </w:rPr>
              <w:t xml:space="preserve">     </w:t>
            </w:r>
            <w:r w:rsidR="00574849" w:rsidRPr="00AA4BE0">
              <w:rPr>
                <w:rFonts w:ascii="Times New Roman" w:hAnsi="Times New Roman" w:cs="Times New Roman"/>
                <w:i/>
                <w:iCs/>
                <w:sz w:val="28"/>
                <w:szCs w:val="28"/>
                <w:lang w:val="vi-VN"/>
              </w:rPr>
              <w:t>năm</w:t>
            </w:r>
            <w:r w:rsidR="00946AE6" w:rsidRPr="00AA4BE0">
              <w:rPr>
                <w:rFonts w:ascii="Times New Roman" w:hAnsi="Times New Roman" w:cs="Times New Roman"/>
                <w:i/>
                <w:iCs/>
                <w:sz w:val="28"/>
                <w:szCs w:val="28"/>
                <w:lang w:val="vi-VN"/>
              </w:rPr>
              <w:t xml:space="preserve"> 202</w:t>
            </w:r>
            <w:r w:rsidR="00117291" w:rsidRPr="00AA4BE0">
              <w:rPr>
                <w:rFonts w:ascii="Times New Roman" w:hAnsi="Times New Roman" w:cs="Times New Roman"/>
                <w:i/>
                <w:iCs/>
                <w:sz w:val="28"/>
                <w:szCs w:val="28"/>
                <w:lang w:val="vi-VN"/>
              </w:rPr>
              <w:t>6</w:t>
            </w:r>
          </w:p>
        </w:tc>
      </w:tr>
    </w:tbl>
    <w:p w14:paraId="7CA0D9B1" w14:textId="77777777" w:rsidR="00574849" w:rsidRPr="00AA4BE0" w:rsidRDefault="00574849" w:rsidP="00574849">
      <w:pPr>
        <w:autoSpaceDE w:val="0"/>
        <w:autoSpaceDN w:val="0"/>
        <w:adjustRightInd w:val="0"/>
        <w:spacing w:before="120"/>
        <w:rPr>
          <w:rFonts w:ascii="Times New Roman" w:hAnsi="Times New Roman" w:cs="Times New Roman"/>
          <w:b/>
          <w:bCs/>
          <w:sz w:val="28"/>
          <w:szCs w:val="28"/>
          <w:lang w:val="vi-VN"/>
        </w:rPr>
      </w:pPr>
    </w:p>
    <w:p w14:paraId="58C95538" w14:textId="48D7E71F" w:rsidR="003A7133" w:rsidRPr="00AA4BE0" w:rsidRDefault="00A03A67" w:rsidP="003A7133">
      <w:pPr>
        <w:autoSpaceDE w:val="0"/>
        <w:autoSpaceDN w:val="0"/>
        <w:adjustRightInd w:val="0"/>
        <w:spacing w:before="120"/>
        <w:jc w:val="center"/>
        <w:rPr>
          <w:rFonts w:ascii="Times New Roman" w:hAnsi="Times New Roman" w:cs="Times New Roman"/>
          <w:b/>
          <w:bCs/>
          <w:sz w:val="28"/>
          <w:szCs w:val="28"/>
        </w:rPr>
      </w:pPr>
      <w:r w:rsidRPr="00AA4BE0">
        <w:rPr>
          <w:rFonts w:ascii="Times New Roman" w:hAnsi="Times New Roman" w:cs="Times New Roman"/>
          <w:b/>
          <w:bCs/>
          <w:sz w:val="28"/>
          <w:szCs w:val="28"/>
          <w:lang w:val="vi-VN"/>
        </w:rPr>
        <w:t>Bản đánh giá thủ tục hành chính, việc phân quyền, phân cấp, việc ứng dụng, thúc đẩy phát triển khoa học, công nghệ, đổi mới sáng tạo và chuyển đổi số, bảo đảm</w:t>
      </w:r>
      <w:r w:rsidRPr="00AA4BE0">
        <w:rPr>
          <w:rFonts w:ascii="Times New Roman" w:hAnsi="Times New Roman" w:cs="Times New Roman"/>
          <w:b/>
          <w:bCs/>
          <w:sz w:val="28"/>
          <w:szCs w:val="28"/>
        </w:rPr>
        <w:t xml:space="preserve"> b</w:t>
      </w:r>
      <w:r w:rsidRPr="00AA4BE0">
        <w:rPr>
          <w:rFonts w:ascii="Times New Roman" w:hAnsi="Times New Roman" w:cs="Times New Roman"/>
          <w:b/>
          <w:bCs/>
          <w:sz w:val="28"/>
          <w:szCs w:val="28"/>
          <w:lang w:val="vi-VN"/>
        </w:rPr>
        <w:t xml:space="preserve">ình đẳng giới, việc thực hiện chính sách dân tộc trong dự án, </w:t>
      </w:r>
      <w:r w:rsidRPr="00AA4BE0">
        <w:rPr>
          <w:rFonts w:ascii="Times New Roman" w:hAnsi="Times New Roman" w:cs="Times New Roman"/>
          <w:b/>
          <w:bCs/>
          <w:sz w:val="28"/>
          <w:szCs w:val="28"/>
        </w:rPr>
        <w:t>D</w:t>
      </w:r>
      <w:r w:rsidRPr="00AA4BE0">
        <w:rPr>
          <w:rFonts w:ascii="Times New Roman" w:hAnsi="Times New Roman" w:cs="Times New Roman"/>
          <w:b/>
          <w:bCs/>
          <w:sz w:val="28"/>
          <w:szCs w:val="28"/>
          <w:lang w:val="vi-VN"/>
        </w:rPr>
        <w:t>ự thảo</w:t>
      </w:r>
      <w:r w:rsidRPr="00AA4BE0">
        <w:rPr>
          <w:rFonts w:ascii="Times New Roman" w:hAnsi="Times New Roman" w:cs="Times New Roman"/>
          <w:b/>
          <w:bCs/>
          <w:sz w:val="28"/>
          <w:szCs w:val="28"/>
        </w:rPr>
        <w:t xml:space="preserve"> N</w:t>
      </w:r>
      <w:r w:rsidRPr="00AA4BE0">
        <w:rPr>
          <w:rFonts w:ascii="Times New Roman" w:hAnsi="Times New Roman" w:cs="Times New Roman"/>
          <w:b/>
          <w:bCs/>
          <w:sz w:val="28"/>
          <w:szCs w:val="28"/>
          <w:lang w:val="vi-VN"/>
        </w:rPr>
        <w:t>ghị quy</w:t>
      </w:r>
      <w:r w:rsidRPr="00AA4BE0">
        <w:rPr>
          <w:rFonts w:ascii="Times New Roman" w:hAnsi="Times New Roman" w:cs="Times New Roman"/>
          <w:b/>
          <w:bCs/>
          <w:sz w:val="28"/>
          <w:szCs w:val="28"/>
        </w:rPr>
        <w:t xml:space="preserve">ết </w:t>
      </w:r>
      <w:r w:rsidR="00386748" w:rsidRPr="00AA4BE0">
        <w:rPr>
          <w:rFonts w:ascii="Times New Roman" w:hAnsi="Times New Roman" w:cs="Times New Roman"/>
          <w:b/>
          <w:bCs/>
          <w:sz w:val="28"/>
          <w:szCs w:val="28"/>
        </w:rPr>
        <w:t>quy định tiêu chí, điều kiện, trình tự, thủ tục, nội dung và mức hỗ trợ từ ngân sách địa phương cho các dự án sản xuất sản 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p>
    <w:p w14:paraId="41CC66F8" w14:textId="793C43ED" w:rsidR="00574849" w:rsidRPr="00AA4BE0" w:rsidRDefault="003A7133" w:rsidP="00574849">
      <w:pPr>
        <w:autoSpaceDE w:val="0"/>
        <w:autoSpaceDN w:val="0"/>
        <w:adjustRightInd w:val="0"/>
        <w:spacing w:before="120"/>
        <w:jc w:val="center"/>
        <w:rPr>
          <w:rFonts w:ascii="Times New Roman" w:hAnsi="Times New Roman" w:cs="Times New Roman"/>
          <w:b/>
          <w:bCs/>
          <w:sz w:val="28"/>
          <w:szCs w:val="28"/>
          <w:lang w:val="vi-VN"/>
        </w:rPr>
      </w:pPr>
      <w:r w:rsidRPr="00AA4BE0">
        <w:rPr>
          <w:rFonts w:ascii="Times New Roman" w:hAnsi="Times New Roman" w:cs="Times New Roman"/>
          <w:b/>
          <w:bCs/>
          <w:sz w:val="28"/>
          <w:szCs w:val="28"/>
        </w:rPr>
        <mc:AlternateContent>
          <mc:Choice Requires="wps">
            <w:drawing>
              <wp:anchor distT="0" distB="0" distL="114300" distR="114300" simplePos="0" relativeHeight="251659264" behindDoc="0" locked="0" layoutInCell="1" allowOverlap="1" wp14:anchorId="1806D42F" wp14:editId="55586028">
                <wp:simplePos x="0" y="0"/>
                <wp:positionH relativeFrom="margin">
                  <wp:align>center</wp:align>
                </wp:positionH>
                <wp:positionV relativeFrom="paragraph">
                  <wp:posOffset>56210</wp:posOffset>
                </wp:positionV>
                <wp:extent cx="1353312" cy="0"/>
                <wp:effectExtent l="0" t="0" r="0" b="0"/>
                <wp:wrapNone/>
                <wp:docPr id="669924740" name="Straight Connector 1"/>
                <wp:cNvGraphicFramePr/>
                <a:graphic xmlns:a="http://schemas.openxmlformats.org/drawingml/2006/main">
                  <a:graphicData uri="http://schemas.microsoft.com/office/word/2010/wordprocessingShape">
                    <wps:wsp>
                      <wps:cNvCnPr/>
                      <wps:spPr>
                        <a:xfrm>
                          <a:off x="0" y="0"/>
                          <a:ext cx="13533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46A8F"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45pt" to="106.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" strokecolor="black [3200]" strokeweight=".5pt">
                <v:stroke joinstyle="miter"/>
                <w10:wrap anchorx="margin"/>
              </v:line>
            </w:pict>
          </mc:Fallback>
        </mc:AlternateContent>
      </w:r>
    </w:p>
    <w:p w14:paraId="13EBB50C" w14:textId="38C109F6" w:rsidR="00EA46DC" w:rsidRPr="00AA4BE0" w:rsidRDefault="00EA46DC" w:rsidP="00EA46DC">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 xml:space="preserve">Thực hiện Luật Ban hành văn bản quy phạm pháp luật năm 2025 và Luật Sửa đổi, </w:t>
      </w:r>
      <w:r w:rsidRPr="00AA4BE0">
        <w:rPr>
          <w:rFonts w:ascii="Times New Roman" w:hAnsi="Times New Roman" w:cs="Times New Roman"/>
          <w:sz w:val="28"/>
          <w:szCs w:val="28"/>
          <w:lang w:val="vi-VN"/>
        </w:rPr>
        <w:br/>
        <w:t>bổ sung một số điều của Luật Ban hành văn bản quy phạm pháp luật năm 2025; Nghị định số 78/2025/NĐ-CP ngày 01 tháng 4 năm 2025 và Nghị định số 187/2025/NĐ-CP ngày 01 tháng 7 năm 2025 của Chính phủ quy định chi tiết một số điều và biện pháp để tổ chức, hướng dẫn thi hành Luật Ban hành văn bản quy phạm pháp luật;</w:t>
      </w:r>
    </w:p>
    <w:p w14:paraId="599701BF" w14:textId="7646B958" w:rsidR="00574849" w:rsidRPr="00AA4BE0" w:rsidRDefault="009A5609" w:rsidP="00A03A67">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 xml:space="preserve">Sở Khoa học và Công nghệ </w:t>
      </w:r>
      <w:r w:rsidR="00574849" w:rsidRPr="00AA4BE0">
        <w:rPr>
          <w:rFonts w:ascii="Times New Roman" w:hAnsi="Times New Roman" w:cs="Times New Roman"/>
          <w:sz w:val="28"/>
          <w:szCs w:val="28"/>
          <w:lang w:val="vi-VN"/>
        </w:rPr>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w:t>
      </w:r>
      <w:r w:rsidRPr="00AA4BE0">
        <w:rPr>
          <w:rFonts w:ascii="Times New Roman" w:hAnsi="Times New Roman" w:cs="Times New Roman"/>
          <w:sz w:val="28"/>
          <w:szCs w:val="28"/>
          <w:lang w:val="vi-VN"/>
        </w:rPr>
        <w:t xml:space="preserve"> Nghị quyế</w:t>
      </w:r>
      <w:r w:rsidR="00633553" w:rsidRPr="00AA4BE0">
        <w:rPr>
          <w:rFonts w:ascii="Times New Roman" w:hAnsi="Times New Roman" w:cs="Times New Roman"/>
          <w:sz w:val="28"/>
          <w:szCs w:val="28"/>
          <w:lang w:val="vi-VN"/>
        </w:rPr>
        <w:t>t của Hội đồng nhân dân</w:t>
      </w:r>
      <w:r w:rsidR="006F2A1E" w:rsidRPr="00AA4BE0">
        <w:rPr>
          <w:rFonts w:ascii="Times New Roman" w:hAnsi="Times New Roman" w:cs="Times New Roman"/>
          <w:sz w:val="28"/>
          <w:szCs w:val="28"/>
        </w:rPr>
        <w:t xml:space="preserve"> tỉnh</w:t>
      </w:r>
      <w:r w:rsidR="00633553" w:rsidRPr="00AA4BE0">
        <w:rPr>
          <w:rFonts w:ascii="Times New Roman" w:hAnsi="Times New Roman" w:cs="Times New Roman"/>
          <w:sz w:val="28"/>
          <w:szCs w:val="28"/>
          <w:lang w:val="vi-VN"/>
        </w:rPr>
        <w:t xml:space="preserve"> </w:t>
      </w:r>
      <w:r w:rsidR="00BA2CD5" w:rsidRPr="00AA4BE0">
        <w:rPr>
          <w:rFonts w:ascii="Times New Roman" w:hAnsi="Times New Roman" w:cs="Times New Roman"/>
          <w:sz w:val="28"/>
          <w:szCs w:val="28"/>
          <w:lang w:val="vi-VN"/>
        </w:rPr>
        <w:t>quy định tiêu chí, điều kiện, trình tự, thủ tục, nội dung và mức hỗ trợ từ ngân sách địa phương cho các dự án sản xuất sản 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r w:rsidRPr="00AA4BE0">
        <w:rPr>
          <w:rFonts w:ascii="Times New Roman" w:hAnsi="Times New Roman" w:cs="Times New Roman"/>
          <w:sz w:val="28"/>
          <w:szCs w:val="28"/>
          <w:lang w:val="vi-VN"/>
        </w:rPr>
        <w:t xml:space="preserve">. </w:t>
      </w:r>
      <w:r w:rsidR="00574849" w:rsidRPr="00AA4BE0">
        <w:rPr>
          <w:rFonts w:ascii="Times New Roman" w:hAnsi="Times New Roman" w:cs="Times New Roman"/>
          <w:sz w:val="28"/>
          <w:szCs w:val="28"/>
          <w:lang w:val="vi-VN"/>
        </w:rPr>
        <w:t>Kết quả như sau:</w:t>
      </w:r>
    </w:p>
    <w:p w14:paraId="112AEB6F" w14:textId="77777777" w:rsidR="00574849" w:rsidRPr="00AA4BE0" w:rsidRDefault="00574849" w:rsidP="00633553">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I. TỔ CHỨC THỰC HIỆN ĐÁNH GIÁ</w:t>
      </w:r>
    </w:p>
    <w:p w14:paraId="3696BC25" w14:textId="21E80B5A" w:rsidR="00574849" w:rsidRPr="00AA4BE0" w:rsidRDefault="00574849" w:rsidP="00633553">
      <w:pPr>
        <w:autoSpaceDE w:val="0"/>
        <w:autoSpaceDN w:val="0"/>
        <w:adjustRightInd w:val="0"/>
        <w:spacing w:before="120"/>
        <w:ind w:firstLine="567"/>
        <w:jc w:val="both"/>
        <w:rPr>
          <w:rFonts w:ascii="Times New Roman" w:hAnsi="Times New Roman" w:cs="Times New Roman"/>
          <w:b/>
          <w:bCs/>
          <w:sz w:val="28"/>
          <w:szCs w:val="28"/>
        </w:rPr>
      </w:pPr>
      <w:r w:rsidRPr="00AA4BE0">
        <w:rPr>
          <w:rFonts w:ascii="Times New Roman" w:hAnsi="Times New Roman" w:cs="Times New Roman"/>
          <w:b/>
          <w:bCs/>
          <w:sz w:val="28"/>
          <w:szCs w:val="28"/>
          <w:lang w:val="vi-VN"/>
        </w:rPr>
        <w:t xml:space="preserve">1. Bối cảnh xây dựng dự án, dự thảo </w:t>
      </w:r>
      <w:r w:rsidR="00633553" w:rsidRPr="00AA4BE0">
        <w:rPr>
          <w:rFonts w:ascii="Times New Roman" w:hAnsi="Times New Roman" w:cs="Times New Roman"/>
          <w:b/>
          <w:bCs/>
          <w:sz w:val="28"/>
          <w:szCs w:val="28"/>
          <w:lang w:val="vi-VN"/>
        </w:rPr>
        <w:t xml:space="preserve">Nghị quyết của Hội đồng nhân dân </w:t>
      </w:r>
      <w:r w:rsidR="00633553" w:rsidRPr="00AA4BE0">
        <w:rPr>
          <w:rFonts w:ascii="Times New Roman" w:hAnsi="Times New Roman" w:cs="Times New Roman"/>
          <w:b/>
          <w:bCs/>
          <w:sz w:val="28"/>
          <w:szCs w:val="28"/>
          <w:lang w:val="vi-VN"/>
        </w:rPr>
        <w:br/>
      </w:r>
      <w:r w:rsidR="00A03A67" w:rsidRPr="00AA4BE0">
        <w:rPr>
          <w:rFonts w:ascii="Times New Roman" w:hAnsi="Times New Roman" w:cs="Times New Roman"/>
          <w:b/>
          <w:bCs/>
          <w:sz w:val="28"/>
          <w:szCs w:val="28"/>
        </w:rPr>
        <w:t>tỉnh</w:t>
      </w:r>
      <w:r w:rsidR="00633553" w:rsidRPr="00AA4BE0">
        <w:rPr>
          <w:rFonts w:ascii="Times New Roman" w:hAnsi="Times New Roman" w:cs="Times New Roman"/>
          <w:b/>
          <w:bCs/>
          <w:sz w:val="28"/>
          <w:szCs w:val="28"/>
          <w:lang w:val="vi-VN"/>
        </w:rPr>
        <w:t xml:space="preserve"> </w:t>
      </w:r>
      <w:r w:rsidR="003F6631" w:rsidRPr="00AA4BE0">
        <w:rPr>
          <w:rFonts w:ascii="Times New Roman" w:hAnsi="Times New Roman" w:cs="Times New Roman"/>
          <w:b/>
          <w:bCs/>
          <w:sz w:val="28"/>
          <w:szCs w:val="28"/>
          <w:lang w:val="vi-VN"/>
        </w:rPr>
        <w:t>quy định tiêu chí, điều kiện, trình tự, thủ tục, nội dung và mức hỗ trợ từ ngân sách địa phương cho các dự án sản xuất sản 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p>
    <w:p w14:paraId="564BA93D" w14:textId="77777777" w:rsidR="00DF5706" w:rsidRPr="00DF5706" w:rsidRDefault="00DF5706" w:rsidP="00DF5706">
      <w:pPr>
        <w:autoSpaceDE w:val="0"/>
        <w:autoSpaceDN w:val="0"/>
        <w:adjustRightInd w:val="0"/>
        <w:spacing w:before="120"/>
        <w:ind w:firstLine="567"/>
        <w:jc w:val="both"/>
        <w:rPr>
          <w:rFonts w:ascii="Times New Roman" w:hAnsi="Times New Roman" w:cs="Times New Roman"/>
          <w:sz w:val="28"/>
          <w:szCs w:val="28"/>
        </w:rPr>
      </w:pPr>
      <w:r w:rsidRPr="00DF5706">
        <w:rPr>
          <w:rFonts w:ascii="Times New Roman" w:hAnsi="Times New Roman" w:cs="Times New Roman"/>
          <w:sz w:val="28"/>
          <w:szCs w:val="28"/>
        </w:rPr>
        <w:t xml:space="preserve">Trong bối cảnh cuộc Cách mạng công nghiệp lần thứ tư đang thúc đẩy sự dịch chuyển mạnh mẽ của chuỗi cung ứng bán dẫn và hạ tầng dữ liệu toàn cầu, Việt Nam </w:t>
      </w:r>
      <w:r w:rsidRPr="00DF5706">
        <w:rPr>
          <w:rFonts w:ascii="Times New Roman" w:hAnsi="Times New Roman" w:cs="Times New Roman"/>
          <w:sz w:val="28"/>
          <w:szCs w:val="28"/>
        </w:rPr>
        <w:lastRenderedPageBreak/>
        <w:t>đang nổi lên như một điểm đến chiến lược cho các tập đoàn công nghệ đa quốc gia. Tại địa phương, tỉnh Đồng Nai sở hữu những lợi thế độc tôn về hạ tầng logistics với dự án Cảng hàng không quốc tế Long Thành sắp đi vào vận hành, tạo điều kiện lý tưởng để hình thành các trung tâm kết nối số (Digital Hub).</w:t>
      </w:r>
    </w:p>
    <w:p w14:paraId="2FA86BC4" w14:textId="77777777" w:rsidR="00DF5706" w:rsidRPr="00DF5706" w:rsidRDefault="00DF5706" w:rsidP="00DF5706">
      <w:pPr>
        <w:autoSpaceDE w:val="0"/>
        <w:autoSpaceDN w:val="0"/>
        <w:adjustRightInd w:val="0"/>
        <w:spacing w:before="120"/>
        <w:ind w:firstLine="567"/>
        <w:jc w:val="both"/>
        <w:rPr>
          <w:rFonts w:ascii="Times New Roman" w:hAnsi="Times New Roman" w:cs="Times New Roman"/>
          <w:sz w:val="28"/>
          <w:szCs w:val="28"/>
        </w:rPr>
      </w:pPr>
      <w:r w:rsidRPr="00DF5706">
        <w:rPr>
          <w:rFonts w:ascii="Times New Roman" w:hAnsi="Times New Roman" w:cs="Times New Roman"/>
          <w:sz w:val="28"/>
          <w:szCs w:val="28"/>
        </w:rPr>
        <w:t>Tuy nhiên, thực tiễn cho thấy mô hình tăng trưởng của tỉnh đang đứng trước yêu cầu cấp bách phải chuyển dịch từ thâm dụng lao động sang kinh tế tri thức, có hàm lượng giá trị gia tăng cao. Việc ban hành Nghị quyết là sự cụ thể hóa các định hướng đột phá tại Nghị quyết số 57-NQ/TW ngày 22 tháng 12 năm 2024 của Bộ Chính trị và thực hiện thẩm quyền được Quốc hội giao tại Khoản 4 Điều 28 Luật Công nghiệp công nghệ số số 71/2025/QH15. Đây là bước đi chiến lược nhằm tạo lập khung chính sách ưu đãi vượt trội, đủ sức cạnh tranh quốc tế để thu hút các nhà đầu tư chiến lược trong lĩnh vực bán dẫn và trí tuệ nhân tạo (AI), xác lập vị thế động lực thúc đẩy đổi mới sáng tạo cho vùng Đông Nam Bộ.</w:t>
      </w:r>
    </w:p>
    <w:p w14:paraId="4FBCA178" w14:textId="77777777" w:rsidR="00574849" w:rsidRPr="00AA4BE0" w:rsidRDefault="00574849" w:rsidP="00BE7F48">
      <w:pPr>
        <w:autoSpaceDE w:val="0"/>
        <w:autoSpaceDN w:val="0"/>
        <w:adjustRightInd w:val="0"/>
        <w:spacing w:before="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2. Mục đích, yêu cầu đánh giá</w:t>
      </w:r>
    </w:p>
    <w:p w14:paraId="11DC76B9" w14:textId="50423156"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AA4BE0">
        <w:rPr>
          <w:rFonts w:ascii="Times New Roman" w:hAnsi="Times New Roman"/>
          <w:b/>
          <w:bCs/>
          <w:sz w:val="28"/>
          <w:szCs w:val="28"/>
        </w:rPr>
        <w:t>2.</w:t>
      </w:r>
      <w:r w:rsidRPr="00935854">
        <w:rPr>
          <w:rFonts w:ascii="Times New Roman" w:hAnsi="Times New Roman"/>
          <w:b/>
          <w:bCs/>
          <w:sz w:val="28"/>
          <w:szCs w:val="28"/>
        </w:rPr>
        <w:t>1. Mục đích đánh giá</w:t>
      </w:r>
    </w:p>
    <w:p w14:paraId="51C34B48"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a) </w:t>
      </w:r>
      <w:r w:rsidRPr="00935854">
        <w:rPr>
          <w:rFonts w:ascii="Times New Roman" w:hAnsi="Times New Roman"/>
          <w:b/>
          <w:bCs/>
          <w:sz w:val="28"/>
          <w:szCs w:val="28"/>
        </w:rPr>
        <w:t>Xác lập cơ sở khoa học và thực tiễn:</w:t>
      </w:r>
      <w:r w:rsidRPr="00935854">
        <w:rPr>
          <w:rFonts w:ascii="Times New Roman" w:hAnsi="Times New Roman"/>
          <w:bCs/>
          <w:sz w:val="28"/>
          <w:szCs w:val="28"/>
        </w:rPr>
        <w:t xml:space="preserve"> Đánh giá toàn diện các tác động tích cực và tiêu cực của chính sách hỗ trợ đối với sự phát triển kinh tế - xã hội của tỉnh; đảm bảo các định mức hỗ trợ (tối đa 4.500 tỷ đồng) và tiêu chí kỹ thuật (Tier 4, PUE &lt; 1.4) được xây dựng trên cơ sở tính toán khoa học, phù hợp với khả năng cân đối ngân sách địa phương và thực tiễn công nghệ toàn cầu.</w:t>
      </w:r>
    </w:p>
    <w:p w14:paraId="4C2BEC36"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b) </w:t>
      </w:r>
      <w:r w:rsidRPr="00935854">
        <w:rPr>
          <w:rFonts w:ascii="Times New Roman" w:hAnsi="Times New Roman"/>
          <w:b/>
          <w:bCs/>
          <w:sz w:val="28"/>
          <w:szCs w:val="28"/>
        </w:rPr>
        <w:t>Đảm bảo tính thống nhất và pháp trị:</w:t>
      </w:r>
      <w:r w:rsidRPr="00935854">
        <w:rPr>
          <w:rFonts w:ascii="Times New Roman" w:hAnsi="Times New Roman"/>
          <w:bCs/>
          <w:sz w:val="28"/>
          <w:szCs w:val="28"/>
        </w:rPr>
        <w:t xml:space="preserve"> Kiểm soát sự phù hợp của dự thảo với hệ thống pháp luật hiện hành, đặc biệt là </w:t>
      </w:r>
      <w:r w:rsidRPr="00935854">
        <w:rPr>
          <w:rFonts w:ascii="Times New Roman" w:hAnsi="Times New Roman"/>
          <w:b/>
          <w:bCs/>
          <w:sz w:val="28"/>
          <w:szCs w:val="28"/>
        </w:rPr>
        <w:t>Luật Công nghiệp công nghệ số số 71/2025/QH15</w:t>
      </w:r>
      <w:r w:rsidRPr="00935854">
        <w:rPr>
          <w:rFonts w:ascii="Times New Roman" w:hAnsi="Times New Roman"/>
          <w:bCs/>
          <w:sz w:val="28"/>
          <w:szCs w:val="28"/>
        </w:rPr>
        <w:t>, Luật Ngân sách nhà nước và các điều ước quốc tế mà Việt Nam là thành viên; đảm bảo các quy định về thủ tục hành chính, phân cấp phân quyền không chồng chéo, mâu thuẫn.</w:t>
      </w:r>
    </w:p>
    <w:p w14:paraId="4C11B267"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c) </w:t>
      </w:r>
      <w:r w:rsidRPr="00935854">
        <w:rPr>
          <w:rFonts w:ascii="Times New Roman" w:hAnsi="Times New Roman"/>
          <w:b/>
          <w:bCs/>
          <w:sz w:val="28"/>
          <w:szCs w:val="28"/>
        </w:rPr>
        <w:t>Tối ưu hóa nguồn lực và hiệu quả đầu tư:</w:t>
      </w:r>
      <w:r w:rsidRPr="00935854">
        <w:rPr>
          <w:rFonts w:ascii="Times New Roman" w:hAnsi="Times New Roman"/>
          <w:bCs/>
          <w:sz w:val="28"/>
          <w:szCs w:val="28"/>
        </w:rPr>
        <w:t xml:space="preserve"> Đánh giá khả năng thu hút các nhà đầu tư chiến lược (nhà đầu tư "đại bàng") vào lĩnh vực bán dẫn và AI; phân tích mức độ lan tỏa của chính sách đối với việc hình thành hệ sinh thái doanh nghiệp phụ trợ, chuyển đổi số và nâng cao năng lực cạnh tranh của tỉnh Đồng Nai trong khu vực Đông Nam Bộ.</w:t>
      </w:r>
    </w:p>
    <w:p w14:paraId="5DF5EAA4"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d) </w:t>
      </w:r>
      <w:r w:rsidRPr="00935854">
        <w:rPr>
          <w:rFonts w:ascii="Times New Roman" w:hAnsi="Times New Roman"/>
          <w:b/>
          <w:bCs/>
          <w:sz w:val="28"/>
          <w:szCs w:val="28"/>
        </w:rPr>
        <w:t>Đảm bảo các giá trị xã hội bền vững:</w:t>
      </w:r>
      <w:r w:rsidRPr="00935854">
        <w:rPr>
          <w:rFonts w:ascii="Times New Roman" w:hAnsi="Times New Roman"/>
          <w:bCs/>
          <w:sz w:val="28"/>
          <w:szCs w:val="28"/>
        </w:rPr>
        <w:t xml:space="preserve"> Đánh giá mức độ tác động của dự thảo đến các vấn đề bình đẳng giới, chính sách dân tộc và môi trường; đảm bảo quá trình hiện đại hóa công nghiệp không làm gia tăng khoảng cách phát triển và tuân thủ các cam kết về tăng trưởng xanh (Net Zero).</w:t>
      </w:r>
    </w:p>
    <w:p w14:paraId="3E376B85" w14:textId="398877AD"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AA4BE0">
        <w:rPr>
          <w:rFonts w:ascii="Times New Roman" w:hAnsi="Times New Roman"/>
          <w:b/>
          <w:bCs/>
          <w:sz w:val="28"/>
          <w:szCs w:val="28"/>
        </w:rPr>
        <w:t>2.</w:t>
      </w:r>
      <w:r w:rsidRPr="00935854">
        <w:rPr>
          <w:rFonts w:ascii="Times New Roman" w:hAnsi="Times New Roman"/>
          <w:b/>
          <w:bCs/>
          <w:sz w:val="28"/>
          <w:szCs w:val="28"/>
        </w:rPr>
        <w:t>2. Yêu cầu đánh giá</w:t>
      </w:r>
    </w:p>
    <w:p w14:paraId="6F24B444"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a) </w:t>
      </w:r>
      <w:r w:rsidRPr="00935854">
        <w:rPr>
          <w:rFonts w:ascii="Times New Roman" w:hAnsi="Times New Roman"/>
          <w:b/>
          <w:bCs/>
          <w:sz w:val="28"/>
          <w:szCs w:val="28"/>
        </w:rPr>
        <w:t>Tính khách quan và minh bạch:</w:t>
      </w:r>
      <w:r w:rsidRPr="00935854">
        <w:rPr>
          <w:rFonts w:ascii="Times New Roman" w:hAnsi="Times New Roman"/>
          <w:bCs/>
          <w:sz w:val="28"/>
          <w:szCs w:val="28"/>
        </w:rPr>
        <w:t xml:space="preserve"> Quá trình đánh giá phải được thực hiện dựa trên các số liệu thực tế, có sự tham gia phản biện của các chuyên gia đầu ngành, các hiệp hội doanh nghiệp và các đối tượng chịu sự tác động trực tiếp của chính sách.</w:t>
      </w:r>
    </w:p>
    <w:p w14:paraId="6E248492"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b) </w:t>
      </w:r>
      <w:r w:rsidRPr="00935854">
        <w:rPr>
          <w:rFonts w:ascii="Times New Roman" w:hAnsi="Times New Roman"/>
          <w:b/>
          <w:bCs/>
          <w:sz w:val="28"/>
          <w:szCs w:val="28"/>
        </w:rPr>
        <w:t>Tính toàn diện và hệ thống:</w:t>
      </w:r>
      <w:r w:rsidRPr="00935854">
        <w:rPr>
          <w:rFonts w:ascii="Times New Roman" w:hAnsi="Times New Roman"/>
          <w:bCs/>
          <w:sz w:val="28"/>
          <w:szCs w:val="28"/>
        </w:rPr>
        <w:t xml:space="preserve"> Nội dung đánh giá không chỉ tập trung vào hiệu quả kinh tế (thu ngân sách, GRDP) mà phải xem xét tổng thể các tác động về thủ tục hành chính, an ninh mạng, an toàn thông tin và các vấn đề an sinh xã hội liên quan.</w:t>
      </w:r>
    </w:p>
    <w:p w14:paraId="09FEB63A"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lastRenderedPageBreak/>
        <w:t xml:space="preserve">c) </w:t>
      </w:r>
      <w:r w:rsidRPr="00935854">
        <w:rPr>
          <w:rFonts w:ascii="Times New Roman" w:hAnsi="Times New Roman"/>
          <w:b/>
          <w:bCs/>
          <w:sz w:val="28"/>
          <w:szCs w:val="28"/>
        </w:rPr>
        <w:t>Tính dự báo và phòng ngừa rủi ro:</w:t>
      </w:r>
      <w:r w:rsidRPr="00935854">
        <w:rPr>
          <w:rFonts w:ascii="Times New Roman" w:hAnsi="Times New Roman"/>
          <w:bCs/>
          <w:sz w:val="28"/>
          <w:szCs w:val="28"/>
        </w:rPr>
        <w:t xml:space="preserve"> Phải nhận diện và đưa ra các phương án ứng phó đối với các rủi ro tiềm ẩn như: sự lạc hậu nhanh chóng của công nghệ, rủi ro trục lợi chính sách, hoặc các biến động của kinh tế thế giới ảnh hưởng đến chuỗi cung ứng bán dẫn toàn cầu.</w:t>
      </w:r>
    </w:p>
    <w:p w14:paraId="0BA172D1" w14:textId="77777777" w:rsidR="00935854" w:rsidRPr="00935854" w:rsidRDefault="00935854" w:rsidP="00935854">
      <w:pPr>
        <w:autoSpaceDE w:val="0"/>
        <w:autoSpaceDN w:val="0"/>
        <w:adjustRightInd w:val="0"/>
        <w:spacing w:before="120" w:after="120"/>
        <w:ind w:firstLine="567"/>
        <w:jc w:val="both"/>
        <w:rPr>
          <w:rFonts w:ascii="Times New Roman" w:hAnsi="Times New Roman"/>
          <w:bCs/>
          <w:sz w:val="28"/>
          <w:szCs w:val="28"/>
        </w:rPr>
      </w:pPr>
      <w:r w:rsidRPr="00935854">
        <w:rPr>
          <w:rFonts w:ascii="Times New Roman" w:hAnsi="Times New Roman"/>
          <w:bCs/>
          <w:sz w:val="28"/>
          <w:szCs w:val="28"/>
        </w:rPr>
        <w:t xml:space="preserve">d) </w:t>
      </w:r>
      <w:r w:rsidRPr="00935854">
        <w:rPr>
          <w:rFonts w:ascii="Times New Roman" w:hAnsi="Times New Roman"/>
          <w:b/>
          <w:bCs/>
          <w:sz w:val="28"/>
          <w:szCs w:val="28"/>
        </w:rPr>
        <w:t>Tính thực thi và bền vững:</w:t>
      </w:r>
      <w:r w:rsidRPr="00935854">
        <w:rPr>
          <w:rFonts w:ascii="Times New Roman" w:hAnsi="Times New Roman"/>
          <w:bCs/>
          <w:sz w:val="28"/>
          <w:szCs w:val="28"/>
        </w:rPr>
        <w:t xml:space="preserve"> Các kết luận đánh giá phải chỉ rõ lộ trình triển khai, trách nhiệm của các cơ quan liên quan và các điều kiện đảm bảo về nguồn nhân lực, hạ tầng điện năng để Nghị quyết đi vào cuộc sống một cách hiệu quả ngay sau khi ban hành.</w:t>
      </w:r>
    </w:p>
    <w:p w14:paraId="128B641E" w14:textId="684CB82D" w:rsidR="00574849" w:rsidRPr="00AA4BE0" w:rsidRDefault="00574849" w:rsidP="0029590B">
      <w:pPr>
        <w:autoSpaceDE w:val="0"/>
        <w:autoSpaceDN w:val="0"/>
        <w:adjustRightInd w:val="0"/>
        <w:spacing w:before="120" w:after="120"/>
        <w:ind w:firstLine="567"/>
        <w:jc w:val="both"/>
        <w:rPr>
          <w:rFonts w:ascii="Times New Roman" w:hAnsi="Times New Roman" w:cs="Times New Roman"/>
          <w:sz w:val="28"/>
          <w:szCs w:val="28"/>
          <w:lang w:val="vi-VN"/>
        </w:rPr>
      </w:pPr>
      <w:r w:rsidRPr="00AA4BE0">
        <w:rPr>
          <w:rFonts w:ascii="Times New Roman" w:hAnsi="Times New Roman" w:cs="Times New Roman"/>
          <w:b/>
          <w:bCs/>
          <w:sz w:val="28"/>
          <w:szCs w:val="28"/>
          <w:lang w:val="vi-VN"/>
        </w:rPr>
        <w:t>II. KẾT QUẢ ĐÁNH GIÁ</w:t>
      </w:r>
    </w:p>
    <w:p w14:paraId="088C9F7B" w14:textId="77777777"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1. Đánh giá thủ tục hành chính (nếu trong dự thảo văn bản có quy định thủ tục hành chính)</w:t>
      </w:r>
    </w:p>
    <w:p w14:paraId="51324E0B" w14:textId="77777777" w:rsidR="00690090" w:rsidRPr="00690090"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690090">
        <w:rPr>
          <w:rFonts w:ascii="Times New Roman" w:hAnsi="Times New Roman" w:cs="Times New Roman"/>
          <w:b/>
          <w:bCs/>
          <w:sz w:val="28"/>
          <w:szCs w:val="28"/>
        </w:rPr>
        <w:t>a) Sự cần thiết và tính hợp pháp của TTHC mới:</w:t>
      </w:r>
      <w:r w:rsidRPr="00690090">
        <w:rPr>
          <w:rFonts w:ascii="Times New Roman" w:hAnsi="Times New Roman" w:cs="Times New Roman"/>
          <w:sz w:val="28"/>
          <w:szCs w:val="28"/>
        </w:rPr>
        <w:t xml:space="preserve"> Dự thảo Nghị quyết quy định 01 thủ tục hành chính mới: </w:t>
      </w:r>
      <w:r w:rsidRPr="00690090">
        <w:rPr>
          <w:rFonts w:ascii="Times New Roman" w:hAnsi="Times New Roman" w:cs="Times New Roman"/>
          <w:i/>
          <w:iCs/>
          <w:sz w:val="28"/>
          <w:szCs w:val="28"/>
        </w:rPr>
        <w:t>"Hỗ trợ kinh phí đầu tư xây dựng nhà máy, hạ tầng kỹ thuật và trang thiết bị máy móc công nghệ cao"</w:t>
      </w:r>
      <w:r w:rsidRPr="00690090">
        <w:rPr>
          <w:rFonts w:ascii="Times New Roman" w:hAnsi="Times New Roman" w:cs="Times New Roman"/>
          <w:sz w:val="28"/>
          <w:szCs w:val="28"/>
        </w:rPr>
        <w:t>. Việc xác lập thủ tục này là sự cụ thể hóa thẩm quyền được giao tại Khoản 4 Điều 28 Luật Công nghiệp công nghệ số số 71/2025/QH15, nhằm tạo quy trình chính quy, minh bạch để ngân sách nhà nước hỗ trợ trực tiếp cho các doanh nghiệp chiến lược.</w:t>
      </w:r>
    </w:p>
    <w:p w14:paraId="11E8D264" w14:textId="77777777" w:rsidR="00690090" w:rsidRPr="00690090"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690090">
        <w:rPr>
          <w:rFonts w:ascii="Times New Roman" w:hAnsi="Times New Roman" w:cs="Times New Roman"/>
          <w:b/>
          <w:bCs/>
          <w:sz w:val="28"/>
          <w:szCs w:val="28"/>
        </w:rPr>
        <w:t>b) Đánh giá tính hợp lý và hiệu quả (Kết quả):</w:t>
      </w:r>
    </w:p>
    <w:p w14:paraId="2BDC0A5D" w14:textId="77777777" w:rsidR="00690090" w:rsidRPr="00690090"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690090">
        <w:rPr>
          <w:rFonts w:ascii="Times New Roman" w:hAnsi="Times New Roman" w:cs="Times New Roman"/>
          <w:b/>
          <w:bCs/>
          <w:sz w:val="28"/>
          <w:szCs w:val="28"/>
        </w:rPr>
        <w:t>Về hình thức thực hiện:</w:t>
      </w:r>
      <w:r w:rsidRPr="00690090">
        <w:rPr>
          <w:rFonts w:ascii="Times New Roman" w:hAnsi="Times New Roman" w:cs="Times New Roman"/>
          <w:sz w:val="28"/>
          <w:szCs w:val="28"/>
        </w:rPr>
        <w:t xml:space="preserve"> Dự thảo Nghị quyết quy định quy trình thực hiện trực tuyến 100% trên Cổng dịch vụ công của tỉnh. Việc ứng dụng tối đa dịch vụ công trực tuyến toàn trình giúp cắt giảm hoàn toàn các khâu trung gian, giảm chi phí thời gian và chi phí tuân thủ cho nhà đầu tư.</w:t>
      </w:r>
    </w:p>
    <w:p w14:paraId="338668EE" w14:textId="1DC4FB5D" w:rsidR="00690090" w:rsidRPr="00690090"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690090">
        <w:rPr>
          <w:rFonts w:ascii="Times New Roman" w:hAnsi="Times New Roman" w:cs="Times New Roman"/>
          <w:b/>
          <w:bCs/>
          <w:sz w:val="28"/>
          <w:szCs w:val="28"/>
        </w:rPr>
        <w:t>Về cơ chế tiếp nhận:</w:t>
      </w:r>
      <w:r w:rsidRPr="00690090">
        <w:rPr>
          <w:rFonts w:ascii="Times New Roman" w:hAnsi="Times New Roman" w:cs="Times New Roman"/>
          <w:sz w:val="28"/>
          <w:szCs w:val="28"/>
        </w:rPr>
        <w:t xml:space="preserve"> Xác lập Ban Quản lý các Khu công nghiệp</w:t>
      </w:r>
      <w:r w:rsidR="00E26991">
        <w:rPr>
          <w:rFonts w:ascii="Times New Roman" w:hAnsi="Times New Roman" w:cs="Times New Roman"/>
          <w:sz w:val="28"/>
          <w:szCs w:val="28"/>
        </w:rPr>
        <w:t xml:space="preserve"> – Khu Kinh tế</w:t>
      </w:r>
      <w:r w:rsidRPr="00690090">
        <w:rPr>
          <w:rFonts w:ascii="Times New Roman" w:hAnsi="Times New Roman" w:cs="Times New Roman"/>
          <w:sz w:val="28"/>
          <w:szCs w:val="28"/>
        </w:rPr>
        <w:t xml:space="preserve"> tỉnh làm đầu mối duy nhất</w:t>
      </w:r>
      <w:r w:rsidR="003D3F4E">
        <w:rPr>
          <w:rFonts w:ascii="Times New Roman" w:hAnsi="Times New Roman" w:cs="Times New Roman"/>
          <w:sz w:val="28"/>
          <w:szCs w:val="28"/>
        </w:rPr>
        <w:t xml:space="preserve"> </w:t>
      </w:r>
      <w:r w:rsidRPr="00690090">
        <w:rPr>
          <w:rFonts w:ascii="Times New Roman" w:hAnsi="Times New Roman" w:cs="Times New Roman"/>
          <w:sz w:val="28"/>
          <w:szCs w:val="28"/>
        </w:rPr>
        <w:t>trong việc tiếp nhận, điều phối thẩm định và trả kết quả. Cơ chế này giúp tối ưu hóa công tác luân chuyển hồ sơ giữa các cơ quan chuyên môn (Sở Tài chính, Sở Khoa học và Công nghệ, Công an tỉnh, Sở Công Thương), dự kiến rút ngắn ít nhất 30% thời gian xử lý so với các quy trình hỗ trợ đầu tư thông thường.</w:t>
      </w:r>
    </w:p>
    <w:p w14:paraId="46742F74" w14:textId="77777777" w:rsidR="00690090" w:rsidRPr="00690090" w:rsidRDefault="00690090" w:rsidP="00690090">
      <w:pPr>
        <w:numPr>
          <w:ilvl w:val="0"/>
          <w:numId w:val="4"/>
        </w:numPr>
        <w:autoSpaceDE w:val="0"/>
        <w:autoSpaceDN w:val="0"/>
        <w:adjustRightInd w:val="0"/>
        <w:spacing w:before="120" w:after="120"/>
        <w:jc w:val="both"/>
        <w:rPr>
          <w:rFonts w:ascii="Times New Roman" w:hAnsi="Times New Roman" w:cs="Times New Roman"/>
          <w:sz w:val="28"/>
          <w:szCs w:val="28"/>
        </w:rPr>
      </w:pPr>
      <w:r w:rsidRPr="00690090">
        <w:rPr>
          <w:rFonts w:ascii="Times New Roman" w:hAnsi="Times New Roman" w:cs="Times New Roman"/>
          <w:b/>
          <w:bCs/>
          <w:sz w:val="28"/>
          <w:szCs w:val="28"/>
        </w:rPr>
        <w:t>Về thành phần hồ sơ:</w:t>
      </w:r>
      <w:r w:rsidRPr="00690090">
        <w:rPr>
          <w:rFonts w:ascii="Times New Roman" w:hAnsi="Times New Roman" w:cs="Times New Roman"/>
          <w:sz w:val="28"/>
          <w:szCs w:val="28"/>
        </w:rPr>
        <w:t xml:space="preserve"> Các yêu cầu về hồ sơ (như Báo cáo kiểm toán độc lập, Chứng chỉ kỹ thuật quốc tế) được quy định rõ ràng, định lượng, giúp chuẩn hóa dữ liệu đầu vào, tạo thuận lợi cho công tác thẩm định điện tử.</w:t>
      </w:r>
    </w:p>
    <w:p w14:paraId="724D496F" w14:textId="77777777" w:rsidR="00690090" w:rsidRPr="00690090" w:rsidRDefault="00690090" w:rsidP="00690090">
      <w:pPr>
        <w:autoSpaceDE w:val="0"/>
        <w:autoSpaceDN w:val="0"/>
        <w:adjustRightInd w:val="0"/>
        <w:spacing w:before="120" w:after="120"/>
        <w:ind w:firstLine="567"/>
        <w:jc w:val="both"/>
        <w:rPr>
          <w:rFonts w:ascii="Times New Roman" w:hAnsi="Times New Roman" w:cs="Times New Roman"/>
          <w:sz w:val="28"/>
          <w:szCs w:val="28"/>
        </w:rPr>
      </w:pPr>
      <w:r w:rsidRPr="00690090">
        <w:rPr>
          <w:rFonts w:ascii="Times New Roman" w:hAnsi="Times New Roman" w:cs="Times New Roman"/>
          <w:b/>
          <w:bCs/>
          <w:sz w:val="28"/>
          <w:szCs w:val="28"/>
        </w:rPr>
        <w:t>c) Tác động của TTHC mới:</w:t>
      </w:r>
    </w:p>
    <w:p w14:paraId="1A070E6E" w14:textId="77777777" w:rsidR="00690090" w:rsidRPr="00690090" w:rsidRDefault="00690090" w:rsidP="00690090">
      <w:pPr>
        <w:numPr>
          <w:ilvl w:val="0"/>
          <w:numId w:val="5"/>
        </w:numPr>
        <w:autoSpaceDE w:val="0"/>
        <w:autoSpaceDN w:val="0"/>
        <w:adjustRightInd w:val="0"/>
        <w:spacing w:before="120" w:after="120"/>
        <w:jc w:val="both"/>
        <w:rPr>
          <w:rFonts w:ascii="Times New Roman" w:hAnsi="Times New Roman" w:cs="Times New Roman"/>
          <w:sz w:val="28"/>
          <w:szCs w:val="28"/>
        </w:rPr>
      </w:pPr>
      <w:r w:rsidRPr="00690090">
        <w:rPr>
          <w:rFonts w:ascii="Times New Roman" w:hAnsi="Times New Roman" w:cs="Times New Roman"/>
          <w:b/>
          <w:bCs/>
          <w:sz w:val="28"/>
          <w:szCs w:val="28"/>
        </w:rPr>
        <w:t>Đối với doanh nghiệp:</w:t>
      </w:r>
      <w:r w:rsidRPr="00690090">
        <w:rPr>
          <w:rFonts w:ascii="Times New Roman" w:hAnsi="Times New Roman" w:cs="Times New Roman"/>
          <w:sz w:val="28"/>
          <w:szCs w:val="28"/>
        </w:rPr>
        <w:t xml:space="preserve"> Tạo dựng môi trường đầu tư thông thoáng, minh bạch và chuyên nghiệp theo chuẩn mực quốc tế. Nhà đầu tư dễ dàng theo dõi lộ trình giải quyết hồ sơ và đảm bảo tính dự báo cao trong kế hoạch tài chính của dự án.</w:t>
      </w:r>
    </w:p>
    <w:p w14:paraId="1BC1430B" w14:textId="77777777" w:rsidR="00690090" w:rsidRPr="00690090" w:rsidRDefault="00690090" w:rsidP="00690090">
      <w:pPr>
        <w:numPr>
          <w:ilvl w:val="0"/>
          <w:numId w:val="5"/>
        </w:numPr>
        <w:autoSpaceDE w:val="0"/>
        <w:autoSpaceDN w:val="0"/>
        <w:adjustRightInd w:val="0"/>
        <w:spacing w:before="120" w:after="120"/>
        <w:jc w:val="both"/>
        <w:rPr>
          <w:rFonts w:ascii="Times New Roman" w:hAnsi="Times New Roman" w:cs="Times New Roman"/>
          <w:sz w:val="28"/>
          <w:szCs w:val="28"/>
        </w:rPr>
      </w:pPr>
      <w:r w:rsidRPr="00690090">
        <w:rPr>
          <w:rFonts w:ascii="Times New Roman" w:hAnsi="Times New Roman" w:cs="Times New Roman"/>
          <w:b/>
          <w:bCs/>
          <w:sz w:val="28"/>
          <w:szCs w:val="28"/>
        </w:rPr>
        <w:t>Đối với cơ quan nhà nước:</w:t>
      </w:r>
      <w:r w:rsidRPr="00690090">
        <w:rPr>
          <w:rFonts w:ascii="Times New Roman" w:hAnsi="Times New Roman" w:cs="Times New Roman"/>
          <w:sz w:val="28"/>
          <w:szCs w:val="28"/>
        </w:rPr>
        <w:t xml:space="preserve"> Tăng cường trách nhiệm giải trình và hiệu quả phối hợp liên ngành. Việc thực hiện trên môi trường điện tử giúp loại bỏ các rủi ro về nhũng nhiễu, tiêu cực, đồng thời xây dựng hệ thống cơ sở dữ liệu phục vụ công tác hậu kiểm và quản lý nhà nhà nước về công nghiệp công nghệ số trên địa bàn tỉnh.</w:t>
      </w:r>
    </w:p>
    <w:p w14:paraId="4D9877B0" w14:textId="1E969EE8"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lastRenderedPageBreak/>
        <w:t xml:space="preserve">2. Việc phân quyền, phân cấp (nếu trong dự thảo văn bản có quy định về </w:t>
      </w:r>
      <w:r w:rsidR="001E6DB5" w:rsidRPr="00AA4BE0">
        <w:rPr>
          <w:rFonts w:ascii="Times New Roman" w:hAnsi="Times New Roman" w:cs="Times New Roman"/>
          <w:b/>
          <w:bCs/>
          <w:sz w:val="28"/>
          <w:szCs w:val="28"/>
          <w:lang w:val="vi-VN"/>
        </w:rPr>
        <w:br/>
      </w:r>
      <w:r w:rsidRPr="00AA4BE0">
        <w:rPr>
          <w:rFonts w:ascii="Times New Roman" w:hAnsi="Times New Roman" w:cs="Times New Roman"/>
          <w:b/>
          <w:bCs/>
          <w:sz w:val="28"/>
          <w:szCs w:val="28"/>
          <w:lang w:val="vi-VN"/>
        </w:rPr>
        <w:t>phân quyền, phân cấp)</w:t>
      </w:r>
    </w:p>
    <w:p w14:paraId="71A08DA4" w14:textId="77777777" w:rsidR="00AC1143" w:rsidRPr="00AA4BE0" w:rsidRDefault="00AC1143" w:rsidP="00AC1143">
      <w:pPr>
        <w:autoSpaceDE w:val="0"/>
        <w:autoSpaceDN w:val="0"/>
        <w:adjustRightInd w:val="0"/>
        <w:spacing w:before="120" w:after="120"/>
        <w:ind w:firstLine="567"/>
        <w:jc w:val="both"/>
        <w:rPr>
          <w:rFonts w:ascii="Times New Roman" w:hAnsi="Times New Roman" w:cs="Times New Roman"/>
          <w:sz w:val="28"/>
          <w:szCs w:val="28"/>
          <w:lang w:val="vi-VN"/>
        </w:rPr>
      </w:pPr>
      <w:r w:rsidRPr="00AA4BE0">
        <w:rPr>
          <w:rFonts w:ascii="Times New Roman" w:hAnsi="Times New Roman" w:cs="Times New Roman"/>
          <w:sz w:val="28"/>
          <w:szCs w:val="28"/>
          <w:lang w:val="vi-VN"/>
        </w:rPr>
        <w:t>Dự thảo Nghị quyết không có nội dung quy định về phân quyền, phân cấp</w:t>
      </w:r>
    </w:p>
    <w:p w14:paraId="0EC19B5E" w14:textId="77777777" w:rsidR="00574849" w:rsidRPr="00AA4BE0" w:rsidRDefault="00574849" w:rsidP="0029590B">
      <w:pPr>
        <w:autoSpaceDE w:val="0"/>
        <w:autoSpaceDN w:val="0"/>
        <w:adjustRightInd w:val="0"/>
        <w:spacing w:before="120" w:after="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41A32E59" w14:textId="77777777" w:rsidR="00E27928" w:rsidRPr="00AA4BE0" w:rsidRDefault="00E27928" w:rsidP="00E27928">
      <w:pPr>
        <w:pStyle w:val="NormalWeb"/>
        <w:rPr>
          <w:sz w:val="28"/>
          <w:szCs w:val="28"/>
        </w:rPr>
      </w:pPr>
      <w:r w:rsidRPr="00AA4BE0">
        <w:rPr>
          <w:b/>
          <w:bCs/>
          <w:sz w:val="28"/>
          <w:szCs w:val="28"/>
        </w:rPr>
        <w:t>a) Đánh giá về tính tiên phong và sự phù hợp công nghệ (Kết quả):</w:t>
      </w:r>
    </w:p>
    <w:p w14:paraId="2C35EAAB" w14:textId="77777777" w:rsidR="00E27928" w:rsidRPr="00AA4BE0" w:rsidRDefault="00E27928" w:rsidP="00AA4BE0">
      <w:pPr>
        <w:pStyle w:val="NormalWeb"/>
        <w:numPr>
          <w:ilvl w:val="0"/>
          <w:numId w:val="9"/>
        </w:numPr>
        <w:jc w:val="both"/>
        <w:rPr>
          <w:sz w:val="28"/>
          <w:szCs w:val="28"/>
        </w:rPr>
      </w:pPr>
      <w:r w:rsidRPr="00AA4BE0">
        <w:rPr>
          <w:b/>
          <w:bCs/>
          <w:sz w:val="28"/>
          <w:szCs w:val="28"/>
        </w:rPr>
        <w:t>Xác lập tiêu chuẩn hạ tầng số đẳng cấp quốc tế:</w:t>
      </w:r>
      <w:r w:rsidRPr="00AA4BE0">
        <w:rPr>
          <w:sz w:val="28"/>
          <w:szCs w:val="28"/>
        </w:rPr>
        <w:t xml:space="preserve"> Dự thảo Nghị quyết tiên phong xác lập các "ngưỡng" công nghệ tiệm cận chuẩn mực toàn cầu như tiêu chuẩn vận hành </w:t>
      </w:r>
      <w:r w:rsidRPr="00AA4BE0">
        <w:rPr>
          <w:b/>
          <w:bCs/>
          <w:sz w:val="28"/>
          <w:szCs w:val="28"/>
        </w:rPr>
        <w:t>Uptime Tier 4</w:t>
      </w:r>
      <w:r w:rsidRPr="00AA4BE0">
        <w:rPr>
          <w:sz w:val="28"/>
          <w:szCs w:val="28"/>
        </w:rPr>
        <w:t xml:space="preserve"> và chỉ số hiệu quả năng lượng </w:t>
      </w:r>
      <w:r w:rsidRPr="00AA4BE0">
        <w:rPr>
          <w:b/>
          <w:bCs/>
          <w:sz w:val="28"/>
          <w:szCs w:val="28"/>
        </w:rPr>
        <w:t>PUE &lt; 1.4</w:t>
      </w:r>
      <w:r w:rsidRPr="00AA4BE0">
        <w:rPr>
          <w:sz w:val="28"/>
          <w:szCs w:val="28"/>
        </w:rPr>
        <w:t>. Việc đưa các thông số định lượng này vào văn bản quy phạm pháp luật không chỉ đảm bảo tính hiện đại của dự án mà còn trực tiếp thực hiện cam kết quốc tế về tăng trưởng xanh (Net Zero) của tỉnh.</w:t>
      </w:r>
    </w:p>
    <w:p w14:paraId="2B786FE6" w14:textId="71958AF0" w:rsidR="00E27928" w:rsidRPr="00AA4BE0" w:rsidRDefault="00E27928" w:rsidP="00AA4BE0">
      <w:pPr>
        <w:pStyle w:val="NormalWeb"/>
        <w:numPr>
          <w:ilvl w:val="0"/>
          <w:numId w:val="9"/>
        </w:numPr>
        <w:jc w:val="both"/>
        <w:rPr>
          <w:sz w:val="28"/>
          <w:szCs w:val="28"/>
        </w:rPr>
      </w:pPr>
      <w:r w:rsidRPr="00AA4BE0">
        <w:rPr>
          <w:b/>
          <w:bCs/>
          <w:sz w:val="28"/>
          <w:szCs w:val="28"/>
        </w:rPr>
        <w:t xml:space="preserve">Đột phá trong hỗ trợ công nghệ </w:t>
      </w:r>
      <w:r w:rsidR="00AA4BE0" w:rsidRPr="00AA4BE0">
        <w:rPr>
          <w:b/>
          <w:bCs/>
          <w:sz w:val="28"/>
          <w:szCs w:val="28"/>
        </w:rPr>
        <w:t>lõi</w:t>
      </w:r>
      <w:r w:rsidRPr="00AA4BE0">
        <w:rPr>
          <w:b/>
          <w:bCs/>
          <w:sz w:val="28"/>
          <w:szCs w:val="28"/>
        </w:rPr>
        <w:t>:</w:t>
      </w:r>
      <w:r w:rsidRPr="00AA4BE0">
        <w:rPr>
          <w:sz w:val="28"/>
          <w:szCs w:val="28"/>
        </w:rPr>
        <w:t xml:space="preserve"> Cơ chế hỗ trợ trực tiếp cho các chi phí vô hình như bản quyền phần mềm thiết kế vi mạch (</w:t>
      </w:r>
      <w:r w:rsidRPr="00AA4BE0">
        <w:rPr>
          <w:b/>
          <w:bCs/>
          <w:sz w:val="28"/>
          <w:szCs w:val="28"/>
        </w:rPr>
        <w:t>EDA</w:t>
      </w:r>
      <w:r w:rsidRPr="00AA4BE0">
        <w:rPr>
          <w:sz w:val="28"/>
          <w:szCs w:val="28"/>
        </w:rPr>
        <w:t>), bản quyền sở hữu trí tuệ (</w:t>
      </w:r>
      <w:r w:rsidRPr="00AA4BE0">
        <w:rPr>
          <w:b/>
          <w:bCs/>
          <w:sz w:val="28"/>
          <w:szCs w:val="28"/>
        </w:rPr>
        <w:t>IP Core</w:t>
      </w:r>
      <w:r w:rsidRPr="00AA4BE0">
        <w:rPr>
          <w:sz w:val="28"/>
          <w:szCs w:val="28"/>
        </w:rPr>
        <w:t>) và các dự án nghiên cứu và phát triển (</w:t>
      </w:r>
      <w:r w:rsidRPr="00AA4BE0">
        <w:rPr>
          <w:b/>
          <w:bCs/>
          <w:sz w:val="28"/>
          <w:szCs w:val="28"/>
        </w:rPr>
        <w:t>R&amp;D</w:t>
      </w:r>
      <w:r w:rsidRPr="00AA4BE0">
        <w:rPr>
          <w:sz w:val="28"/>
          <w:szCs w:val="28"/>
        </w:rPr>
        <w:t>) với quy mô nhân sự chuyên trách tối thiểu 10 người là những chính sách đặc thù, có sức cạnh tranh vượt trội. Đây là bước đi quan trọng để thu hút các doanh nghiệp thuộc phân khúc thượng nguồn (Upstream) trong chuỗi giá trị bán dẫn.</w:t>
      </w:r>
    </w:p>
    <w:p w14:paraId="466992DC" w14:textId="77777777" w:rsidR="00E27928" w:rsidRPr="00AA4BE0" w:rsidRDefault="00E27928" w:rsidP="00AA4BE0">
      <w:pPr>
        <w:pStyle w:val="NormalWeb"/>
        <w:numPr>
          <w:ilvl w:val="0"/>
          <w:numId w:val="9"/>
        </w:numPr>
        <w:jc w:val="both"/>
        <w:rPr>
          <w:sz w:val="28"/>
          <w:szCs w:val="28"/>
        </w:rPr>
      </w:pPr>
      <w:r w:rsidRPr="00AA4BE0">
        <w:rPr>
          <w:b/>
          <w:bCs/>
          <w:sz w:val="28"/>
          <w:szCs w:val="28"/>
        </w:rPr>
        <w:t>Thúc đẩy chuyển đổi số toàn diện:</w:t>
      </w:r>
      <w:r w:rsidRPr="00AA4BE0">
        <w:rPr>
          <w:sz w:val="28"/>
          <w:szCs w:val="28"/>
        </w:rPr>
        <w:t xml:space="preserve"> Việc hỗ trợ các Trung tâm dữ liệu trí tuệ nhân tạo (AI Data Center) và điện toán hiệu năng cao (HPC) tạo ra hạ tầng nền tảng cho việc triển khai các ứng dụng số hóa trong quản lý nhà nước và sản xuất kinh doanh trên toàn địa bàn tỉnh.</w:t>
      </w:r>
    </w:p>
    <w:p w14:paraId="5B33E6A0" w14:textId="77777777" w:rsidR="00E27928" w:rsidRPr="00AA4BE0" w:rsidRDefault="00E27928" w:rsidP="00E27928">
      <w:pPr>
        <w:pStyle w:val="NormalWeb"/>
        <w:rPr>
          <w:sz w:val="28"/>
          <w:szCs w:val="28"/>
        </w:rPr>
      </w:pPr>
      <w:r w:rsidRPr="00AA4BE0">
        <w:rPr>
          <w:b/>
          <w:bCs/>
          <w:sz w:val="28"/>
          <w:szCs w:val="28"/>
        </w:rPr>
        <w:t>b) Đánh giá về chuyển dịch mô hình tăng trưởng (Tác động):</w:t>
      </w:r>
    </w:p>
    <w:p w14:paraId="712366C2" w14:textId="77777777" w:rsidR="00E27928" w:rsidRPr="00AA4BE0" w:rsidRDefault="00E27928" w:rsidP="004D1668">
      <w:pPr>
        <w:pStyle w:val="NormalWeb"/>
        <w:numPr>
          <w:ilvl w:val="0"/>
          <w:numId w:val="8"/>
        </w:numPr>
        <w:jc w:val="both"/>
        <w:rPr>
          <w:sz w:val="28"/>
          <w:szCs w:val="28"/>
        </w:rPr>
      </w:pPr>
      <w:r w:rsidRPr="00AA4BE0">
        <w:rPr>
          <w:b/>
          <w:bCs/>
          <w:sz w:val="28"/>
          <w:szCs w:val="28"/>
        </w:rPr>
        <w:t>Thay đổi cơ cấu kinh tế nội tỉnh:</w:t>
      </w:r>
      <w:r w:rsidRPr="00AA4BE0">
        <w:rPr>
          <w:sz w:val="28"/>
          <w:szCs w:val="28"/>
        </w:rPr>
        <w:t xml:space="preserve"> Chính sách tạo đòn bẩy mạnh mẽ để chuyển dịch mô hình kinh tế của tỉnh từ thâm dụng lao động, gia công giá trị thấp sang kinh tế tri thức và công nghiệp công nghệ cao. Điều này giúp tối ưu hóa giá trị sử dụng đất và nguồn lực năng lượng của địa phương.</w:t>
      </w:r>
    </w:p>
    <w:p w14:paraId="762A0A1F" w14:textId="77777777" w:rsidR="00E27928" w:rsidRPr="00AA4BE0" w:rsidRDefault="00E27928" w:rsidP="004D1668">
      <w:pPr>
        <w:pStyle w:val="NormalWeb"/>
        <w:numPr>
          <w:ilvl w:val="0"/>
          <w:numId w:val="8"/>
        </w:numPr>
        <w:jc w:val="both"/>
        <w:rPr>
          <w:sz w:val="28"/>
          <w:szCs w:val="28"/>
        </w:rPr>
      </w:pPr>
      <w:r w:rsidRPr="00AA4BE0">
        <w:rPr>
          <w:b/>
          <w:bCs/>
          <w:sz w:val="28"/>
          <w:szCs w:val="28"/>
        </w:rPr>
        <w:t>Hình thành hệ sinh thái công nghiệp bền vững:</w:t>
      </w:r>
      <w:r w:rsidRPr="00AA4BE0">
        <w:rPr>
          <w:sz w:val="28"/>
          <w:szCs w:val="28"/>
        </w:rPr>
        <w:t xml:space="preserve"> Tạo môi trường thu hút các nhà đầu tư chiến lược, từ đó kéo theo sự phát triển của mạng lưới các doanh nghiệp phụ trợ, startups công nghệ nội địa. Đồng Nai sẽ không chỉ dừng lại là "nơi đặt nhà máy" (Manufacturing site) mà vươn mình trở thành "trung tâm thiết kế và sáng tạo" (Design &amp; Innovation Hub) của khu vực Đông Nam Bộ.</w:t>
      </w:r>
    </w:p>
    <w:p w14:paraId="45D34BF6" w14:textId="77777777" w:rsidR="00E27928" w:rsidRPr="00AA4BE0" w:rsidRDefault="00E27928" w:rsidP="004D1668">
      <w:pPr>
        <w:pStyle w:val="NormalWeb"/>
        <w:numPr>
          <w:ilvl w:val="0"/>
          <w:numId w:val="8"/>
        </w:numPr>
        <w:jc w:val="both"/>
        <w:rPr>
          <w:sz w:val="28"/>
          <w:szCs w:val="28"/>
        </w:rPr>
      </w:pPr>
      <w:r w:rsidRPr="00AA4BE0">
        <w:rPr>
          <w:b/>
          <w:bCs/>
          <w:sz w:val="28"/>
          <w:szCs w:val="28"/>
        </w:rPr>
        <w:t>Nâng cao năng lực cạnh tranh quốc tế:</w:t>
      </w:r>
      <w:r w:rsidRPr="00AA4BE0">
        <w:rPr>
          <w:sz w:val="28"/>
          <w:szCs w:val="28"/>
        </w:rPr>
        <w:t xml:space="preserve"> Việc sở hữu hạ tầng số đạt chuẩn Tier 4 và hệ sinh thái bán dẫn hoàn chỉnh giúp Đồng Nai nâng cao chỉ số đổi mới sáng tạo cấp địa phương (PII) và trở thành mắt xích quan trọng trong mạng lưới cung ứng công nghệ cao toàn cầu.</w:t>
      </w:r>
    </w:p>
    <w:p w14:paraId="18BCFD13" w14:textId="789BA010" w:rsidR="00574849" w:rsidRPr="00AA4BE0" w:rsidRDefault="00574849" w:rsidP="0016428B">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4. Việc bảo đảm bình đẳng giới</w:t>
      </w:r>
      <w:r w:rsidR="0016428B" w:rsidRPr="00AA4BE0">
        <w:rPr>
          <w:rFonts w:ascii="Times New Roman" w:hAnsi="Times New Roman" w:cs="Times New Roman"/>
          <w:b/>
          <w:bCs/>
          <w:sz w:val="28"/>
          <w:szCs w:val="28"/>
          <w:lang w:val="vi-VN"/>
        </w:rPr>
        <w:t xml:space="preserve">: </w:t>
      </w:r>
      <w:r w:rsidRPr="00AA4BE0">
        <w:rPr>
          <w:rFonts w:ascii="Times New Roman" w:hAnsi="Times New Roman" w:cs="Times New Roman"/>
          <w:b/>
          <w:bCs/>
          <w:sz w:val="28"/>
          <w:szCs w:val="28"/>
          <w:lang w:val="vi-VN"/>
        </w:rPr>
        <w:t xml:space="preserve"> </w:t>
      </w:r>
      <w:r w:rsidR="0016428B" w:rsidRPr="00AA4BE0">
        <w:rPr>
          <w:rFonts w:ascii="Times New Roman" w:hAnsi="Times New Roman" w:cs="Times New Roman"/>
          <w:sz w:val="28"/>
          <w:szCs w:val="28"/>
          <w:lang w:val="vi-VN"/>
        </w:rPr>
        <w:t>Dự thảo Nghị quyết không có nội dung liên quan đến bảo đảm bình đẳng giới.</w:t>
      </w:r>
    </w:p>
    <w:p w14:paraId="5D4B240B" w14:textId="662991BF" w:rsidR="0016428B" w:rsidRPr="00AA4BE0" w:rsidRDefault="00574849" w:rsidP="0016428B">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lastRenderedPageBreak/>
        <w:t>5. Việc thực hiện chính sách dân tộc</w:t>
      </w:r>
      <w:r w:rsidR="0016428B" w:rsidRPr="00AA4BE0">
        <w:rPr>
          <w:rFonts w:ascii="Times New Roman" w:hAnsi="Times New Roman" w:cs="Times New Roman"/>
          <w:b/>
          <w:bCs/>
          <w:sz w:val="28"/>
          <w:szCs w:val="28"/>
          <w:lang w:val="vi-VN"/>
        </w:rPr>
        <w:t xml:space="preserve">: </w:t>
      </w:r>
      <w:r w:rsidRPr="00AA4BE0">
        <w:rPr>
          <w:rFonts w:ascii="Times New Roman" w:hAnsi="Times New Roman" w:cs="Times New Roman"/>
          <w:b/>
          <w:bCs/>
          <w:sz w:val="28"/>
          <w:szCs w:val="28"/>
          <w:lang w:val="vi-VN"/>
        </w:rPr>
        <w:t xml:space="preserve"> </w:t>
      </w:r>
      <w:r w:rsidR="0016428B" w:rsidRPr="00AA4BE0">
        <w:rPr>
          <w:rFonts w:ascii="Times New Roman" w:hAnsi="Times New Roman" w:cs="Times New Roman"/>
          <w:sz w:val="28"/>
          <w:szCs w:val="28"/>
          <w:lang w:val="vi-VN"/>
        </w:rPr>
        <w:t xml:space="preserve">Dự thảo Nghị quyết không có nội dung liên quan đến </w:t>
      </w:r>
      <w:r w:rsidR="00F532B6" w:rsidRPr="00AA4BE0">
        <w:rPr>
          <w:rFonts w:ascii="Times New Roman" w:hAnsi="Times New Roman" w:cs="Times New Roman"/>
          <w:sz w:val="28"/>
          <w:szCs w:val="28"/>
          <w:lang w:val="vi-VN"/>
        </w:rPr>
        <w:t>thực hiện chính sách dân tộc.</w:t>
      </w:r>
    </w:p>
    <w:p w14:paraId="4697D857" w14:textId="77777777" w:rsidR="00574849" w:rsidRPr="00AA4BE0" w:rsidRDefault="00574849" w:rsidP="00F532B6">
      <w:pPr>
        <w:autoSpaceDE w:val="0"/>
        <w:autoSpaceDN w:val="0"/>
        <w:adjustRightInd w:val="0"/>
        <w:spacing w:before="120"/>
        <w:ind w:firstLine="567"/>
        <w:jc w:val="both"/>
        <w:rPr>
          <w:rFonts w:ascii="Times New Roman" w:hAnsi="Times New Roman" w:cs="Times New Roman"/>
          <w:b/>
          <w:bCs/>
          <w:sz w:val="28"/>
          <w:szCs w:val="28"/>
          <w:lang w:val="vi-VN"/>
        </w:rPr>
      </w:pPr>
      <w:r w:rsidRPr="00AA4BE0">
        <w:rPr>
          <w:rFonts w:ascii="Times New Roman" w:hAnsi="Times New Roman" w:cs="Times New Roman"/>
          <w:b/>
          <w:bCs/>
          <w:sz w:val="28"/>
          <w:szCs w:val="28"/>
          <w:lang w:val="vi-VN"/>
        </w:rPr>
        <w:t>III. PHỤ LỤC (nếu có)</w:t>
      </w:r>
    </w:p>
    <w:p w14:paraId="539AF7E9" w14:textId="4611CFF9" w:rsidR="00181EE2" w:rsidRPr="00AA4BE0" w:rsidRDefault="00181EE2" w:rsidP="00181EE2">
      <w:pPr>
        <w:spacing w:before="120" w:after="120"/>
        <w:ind w:firstLine="567"/>
        <w:jc w:val="both"/>
        <w:rPr>
          <w:rFonts w:ascii="Times New Roman" w:hAnsi="Times New Roman"/>
          <w:sz w:val="28"/>
          <w:szCs w:val="28"/>
          <w:lang w:val="vi-VN"/>
        </w:rPr>
      </w:pPr>
      <w:r w:rsidRPr="00AA4BE0">
        <w:rPr>
          <w:rFonts w:ascii="Times New Roman" w:hAnsi="Times New Roman"/>
          <w:sz w:val="28"/>
          <w:szCs w:val="28"/>
          <w:lang w:val="vi-VN"/>
        </w:rPr>
        <w:t xml:space="preserve">1. </w:t>
      </w:r>
      <w:r w:rsidR="00D61DF4" w:rsidRPr="00606555">
        <w:rPr>
          <w:rFonts w:ascii="Times New Roman" w:hAnsi="Times New Roman" w:cs="Times New Roman"/>
          <w:sz w:val="28"/>
          <w:szCs w:val="28"/>
        </w:rPr>
        <w:t xml:space="preserve">Đơn đề nghị hỗ trợ kinh phí </w:t>
      </w:r>
      <w:r w:rsidR="00E772B8" w:rsidRPr="00606555">
        <w:rPr>
          <w:rFonts w:ascii="Times New Roman" w:hAnsi="Times New Roman" w:cs="Times New Roman"/>
          <w:sz w:val="28"/>
          <w:szCs w:val="28"/>
        </w:rPr>
        <w:t>theo mẫu quy định tại Phụ lục đính kèm Nghị quyết</w:t>
      </w:r>
      <w:r w:rsidRPr="00AA4BE0">
        <w:rPr>
          <w:rFonts w:ascii="Times New Roman" w:hAnsi="Times New Roman"/>
          <w:sz w:val="28"/>
          <w:szCs w:val="28"/>
          <w:lang w:val="vi-VN"/>
        </w:rPr>
        <w:t>.</w:t>
      </w:r>
    </w:p>
    <w:p w14:paraId="67CDE05A" w14:textId="60142FC8" w:rsidR="00574849" w:rsidRPr="00AA4BE0" w:rsidRDefault="00F532B6" w:rsidP="000A196D">
      <w:pPr>
        <w:autoSpaceDE w:val="0"/>
        <w:autoSpaceDN w:val="0"/>
        <w:adjustRightInd w:val="0"/>
        <w:spacing w:before="120"/>
        <w:jc w:val="right"/>
        <w:rPr>
          <w:sz w:val="28"/>
          <w:szCs w:val="28"/>
          <w:lang w:val="vi-VN"/>
        </w:rPr>
      </w:pPr>
      <w:r w:rsidRPr="00AA4BE0">
        <w:rPr>
          <w:rFonts w:ascii="Times New Roman" w:hAnsi="Times New Roman" w:cs="Times New Roman"/>
          <w:b/>
          <w:bCs/>
          <w:sz w:val="28"/>
          <w:szCs w:val="28"/>
          <w:lang w:val="vi-VN"/>
        </w:rPr>
        <w:t>SỞ KHOA HỌC VÀ CÔNG NGHỆ</w:t>
      </w:r>
    </w:p>
    <w:sectPr w:rsidR="00574849" w:rsidRPr="00AA4BE0" w:rsidSect="00B65B17">
      <w:pgSz w:w="11907" w:h="16840" w:code="9"/>
      <w:pgMar w:top="113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71A"/>
    <w:multiLevelType w:val="multilevel"/>
    <w:tmpl w:val="F70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357FD"/>
    <w:multiLevelType w:val="hybridMultilevel"/>
    <w:tmpl w:val="D818C44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75C5154"/>
    <w:multiLevelType w:val="multilevel"/>
    <w:tmpl w:val="7CC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F4619"/>
    <w:multiLevelType w:val="multilevel"/>
    <w:tmpl w:val="60D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4513"/>
    <w:multiLevelType w:val="multilevel"/>
    <w:tmpl w:val="7F9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92981"/>
    <w:multiLevelType w:val="multilevel"/>
    <w:tmpl w:val="DC6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A2D93"/>
    <w:multiLevelType w:val="multilevel"/>
    <w:tmpl w:val="BB7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55C24"/>
    <w:multiLevelType w:val="multilevel"/>
    <w:tmpl w:val="B66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F503B"/>
    <w:multiLevelType w:val="multilevel"/>
    <w:tmpl w:val="529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804888">
    <w:abstractNumId w:val="1"/>
  </w:num>
  <w:num w:numId="2" w16cid:durableId="1324428351">
    <w:abstractNumId w:val="5"/>
  </w:num>
  <w:num w:numId="3" w16cid:durableId="980620859">
    <w:abstractNumId w:val="2"/>
  </w:num>
  <w:num w:numId="4" w16cid:durableId="647369187">
    <w:abstractNumId w:val="7"/>
  </w:num>
  <w:num w:numId="5" w16cid:durableId="1969313154">
    <w:abstractNumId w:val="3"/>
  </w:num>
  <w:num w:numId="6" w16cid:durableId="664673165">
    <w:abstractNumId w:val="0"/>
  </w:num>
  <w:num w:numId="7" w16cid:durableId="1827551094">
    <w:abstractNumId w:val="4"/>
  </w:num>
  <w:num w:numId="8" w16cid:durableId="670914553">
    <w:abstractNumId w:val="8"/>
  </w:num>
  <w:num w:numId="9" w16cid:durableId="586380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C"/>
    <w:rsid w:val="000142E6"/>
    <w:rsid w:val="000A196D"/>
    <w:rsid w:val="000A337D"/>
    <w:rsid w:val="000E7288"/>
    <w:rsid w:val="001162A8"/>
    <w:rsid w:val="0011715C"/>
    <w:rsid w:val="00117291"/>
    <w:rsid w:val="0012234F"/>
    <w:rsid w:val="00133F7F"/>
    <w:rsid w:val="00137C1D"/>
    <w:rsid w:val="00152283"/>
    <w:rsid w:val="0015258E"/>
    <w:rsid w:val="0016428B"/>
    <w:rsid w:val="00181EE2"/>
    <w:rsid w:val="0019486C"/>
    <w:rsid w:val="001C1544"/>
    <w:rsid w:val="001E6DB5"/>
    <w:rsid w:val="001E7A97"/>
    <w:rsid w:val="00222315"/>
    <w:rsid w:val="002335B0"/>
    <w:rsid w:val="00240C7A"/>
    <w:rsid w:val="00250383"/>
    <w:rsid w:val="00255C17"/>
    <w:rsid w:val="0029590B"/>
    <w:rsid w:val="002A798E"/>
    <w:rsid w:val="002F61D2"/>
    <w:rsid w:val="0033015A"/>
    <w:rsid w:val="003654B0"/>
    <w:rsid w:val="00376A48"/>
    <w:rsid w:val="00386748"/>
    <w:rsid w:val="00393753"/>
    <w:rsid w:val="003A7133"/>
    <w:rsid w:val="003C767A"/>
    <w:rsid w:val="003D3F4E"/>
    <w:rsid w:val="003F6631"/>
    <w:rsid w:val="00425FEB"/>
    <w:rsid w:val="00467556"/>
    <w:rsid w:val="00494533"/>
    <w:rsid w:val="004C5988"/>
    <w:rsid w:val="004D1668"/>
    <w:rsid w:val="00502718"/>
    <w:rsid w:val="00504C4B"/>
    <w:rsid w:val="00545EC1"/>
    <w:rsid w:val="005642B4"/>
    <w:rsid w:val="005742A8"/>
    <w:rsid w:val="00574849"/>
    <w:rsid w:val="005A48C6"/>
    <w:rsid w:val="005A761C"/>
    <w:rsid w:val="005E54E0"/>
    <w:rsid w:val="00614119"/>
    <w:rsid w:val="006305FC"/>
    <w:rsid w:val="00633553"/>
    <w:rsid w:val="00651EC4"/>
    <w:rsid w:val="00682CD7"/>
    <w:rsid w:val="00686CE6"/>
    <w:rsid w:val="00687DDE"/>
    <w:rsid w:val="00690090"/>
    <w:rsid w:val="006E2C20"/>
    <w:rsid w:val="006F04EA"/>
    <w:rsid w:val="006F2A1E"/>
    <w:rsid w:val="006F6B99"/>
    <w:rsid w:val="00777385"/>
    <w:rsid w:val="007F5F41"/>
    <w:rsid w:val="00827302"/>
    <w:rsid w:val="008424A5"/>
    <w:rsid w:val="0085508A"/>
    <w:rsid w:val="00882D7E"/>
    <w:rsid w:val="008876F9"/>
    <w:rsid w:val="008B1F9A"/>
    <w:rsid w:val="008B5A6F"/>
    <w:rsid w:val="008D37C0"/>
    <w:rsid w:val="008F3032"/>
    <w:rsid w:val="00915252"/>
    <w:rsid w:val="00935854"/>
    <w:rsid w:val="00946AE6"/>
    <w:rsid w:val="0098358C"/>
    <w:rsid w:val="00997B2E"/>
    <w:rsid w:val="009A5609"/>
    <w:rsid w:val="00A03A67"/>
    <w:rsid w:val="00A50A05"/>
    <w:rsid w:val="00AA4BE0"/>
    <w:rsid w:val="00AC09EE"/>
    <w:rsid w:val="00AC0DF1"/>
    <w:rsid w:val="00AC1143"/>
    <w:rsid w:val="00AF4C2E"/>
    <w:rsid w:val="00B65698"/>
    <w:rsid w:val="00B65B17"/>
    <w:rsid w:val="00BA2CD5"/>
    <w:rsid w:val="00BD1B70"/>
    <w:rsid w:val="00BE0359"/>
    <w:rsid w:val="00BE7F48"/>
    <w:rsid w:val="00C14F15"/>
    <w:rsid w:val="00C3250A"/>
    <w:rsid w:val="00C47886"/>
    <w:rsid w:val="00C844C9"/>
    <w:rsid w:val="00C906D4"/>
    <w:rsid w:val="00CB05BC"/>
    <w:rsid w:val="00CB5322"/>
    <w:rsid w:val="00CE32E0"/>
    <w:rsid w:val="00CF5742"/>
    <w:rsid w:val="00D04C73"/>
    <w:rsid w:val="00D52C5A"/>
    <w:rsid w:val="00D5411C"/>
    <w:rsid w:val="00D61DF4"/>
    <w:rsid w:val="00D633D3"/>
    <w:rsid w:val="00D7499B"/>
    <w:rsid w:val="00DA53C0"/>
    <w:rsid w:val="00DF5706"/>
    <w:rsid w:val="00E10757"/>
    <w:rsid w:val="00E26991"/>
    <w:rsid w:val="00E27928"/>
    <w:rsid w:val="00E772B8"/>
    <w:rsid w:val="00EA46DC"/>
    <w:rsid w:val="00EA4B6E"/>
    <w:rsid w:val="00EB004E"/>
    <w:rsid w:val="00EC35FF"/>
    <w:rsid w:val="00EF1ECD"/>
    <w:rsid w:val="00F47BC4"/>
    <w:rsid w:val="00F532B6"/>
    <w:rsid w:val="00F54662"/>
    <w:rsid w:val="00F54EF5"/>
    <w:rsid w:val="00F6266A"/>
    <w:rsid w:val="00FA5AD2"/>
    <w:rsid w:val="00FE4641"/>
    <w:rsid w:val="00FF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7680"/>
  <w15:chartTrackingRefBased/>
  <w15:docId w15:val="{CE25BB23-40BC-463C-9174-E493A7B7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7"/>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49"/>
    <w:pPr>
      <w:spacing w:after="0" w:line="240" w:lineRule="auto"/>
    </w:pPr>
    <w:rPr>
      <w:rFonts w:ascii="Arial" w:eastAsia="Times New Roman" w:hAnsi="Arial" w:cs="Arial"/>
      <w:noProof/>
      <w:sz w:val="20"/>
      <w:szCs w:val="20"/>
    </w:rPr>
  </w:style>
  <w:style w:type="paragraph" w:styleId="Heading1">
    <w:name w:val="heading 1"/>
    <w:basedOn w:val="Normal"/>
    <w:next w:val="Normal"/>
    <w:link w:val="Heading1Char"/>
    <w:uiPriority w:val="9"/>
    <w:qFormat/>
    <w:rsid w:val="0098358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58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58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58C"/>
    <w:pPr>
      <w:keepNext/>
      <w:keepLines/>
      <w:spacing w:before="80" w:after="40" w:line="278" w:lineRule="auto"/>
      <w:outlineLvl w:val="3"/>
    </w:pPr>
    <w:rPr>
      <w:rFonts w:asciiTheme="minorHAnsi" w:eastAsiaTheme="majorEastAsia" w:hAnsiTheme="minorHAnsi" w:cstheme="majorBidi"/>
      <w:i/>
      <w:iCs/>
      <w:color w:val="0F4761" w:themeColor="accent1" w:themeShade="BF"/>
      <w:sz w:val="28"/>
      <w:szCs w:val="27"/>
    </w:rPr>
  </w:style>
  <w:style w:type="paragraph" w:styleId="Heading5">
    <w:name w:val="heading 5"/>
    <w:basedOn w:val="Normal"/>
    <w:next w:val="Normal"/>
    <w:link w:val="Heading5Char"/>
    <w:uiPriority w:val="9"/>
    <w:semiHidden/>
    <w:unhideWhenUsed/>
    <w:qFormat/>
    <w:rsid w:val="0098358C"/>
    <w:pPr>
      <w:keepNext/>
      <w:keepLines/>
      <w:spacing w:before="80" w:after="40" w:line="278" w:lineRule="auto"/>
      <w:outlineLvl w:val="4"/>
    </w:pPr>
    <w:rPr>
      <w:rFonts w:asciiTheme="minorHAnsi" w:eastAsiaTheme="majorEastAsia" w:hAnsiTheme="minorHAnsi" w:cstheme="majorBidi"/>
      <w:color w:val="0F4761" w:themeColor="accent1" w:themeShade="BF"/>
      <w:sz w:val="28"/>
      <w:szCs w:val="27"/>
    </w:rPr>
  </w:style>
  <w:style w:type="paragraph" w:styleId="Heading6">
    <w:name w:val="heading 6"/>
    <w:basedOn w:val="Normal"/>
    <w:next w:val="Normal"/>
    <w:link w:val="Heading6Char"/>
    <w:uiPriority w:val="9"/>
    <w:semiHidden/>
    <w:unhideWhenUsed/>
    <w:qFormat/>
    <w:rsid w:val="0098358C"/>
    <w:pPr>
      <w:keepNext/>
      <w:keepLines/>
      <w:spacing w:before="40" w:line="278" w:lineRule="auto"/>
      <w:outlineLvl w:val="5"/>
    </w:pPr>
    <w:rPr>
      <w:rFonts w:asciiTheme="minorHAnsi" w:eastAsiaTheme="majorEastAsia" w:hAnsiTheme="minorHAnsi" w:cstheme="majorBidi"/>
      <w:i/>
      <w:iCs/>
      <w:color w:val="595959" w:themeColor="text1" w:themeTint="A6"/>
      <w:sz w:val="28"/>
      <w:szCs w:val="27"/>
    </w:rPr>
  </w:style>
  <w:style w:type="paragraph" w:styleId="Heading7">
    <w:name w:val="heading 7"/>
    <w:basedOn w:val="Normal"/>
    <w:next w:val="Normal"/>
    <w:link w:val="Heading7Char"/>
    <w:uiPriority w:val="9"/>
    <w:semiHidden/>
    <w:unhideWhenUsed/>
    <w:qFormat/>
    <w:rsid w:val="0098358C"/>
    <w:pPr>
      <w:keepNext/>
      <w:keepLines/>
      <w:spacing w:before="40" w:line="278" w:lineRule="auto"/>
      <w:outlineLvl w:val="6"/>
    </w:pPr>
    <w:rPr>
      <w:rFonts w:asciiTheme="minorHAnsi" w:eastAsiaTheme="majorEastAsia" w:hAnsiTheme="minorHAnsi" w:cstheme="majorBidi"/>
      <w:color w:val="595959" w:themeColor="text1" w:themeTint="A6"/>
      <w:sz w:val="28"/>
      <w:szCs w:val="27"/>
    </w:rPr>
  </w:style>
  <w:style w:type="paragraph" w:styleId="Heading8">
    <w:name w:val="heading 8"/>
    <w:basedOn w:val="Normal"/>
    <w:next w:val="Normal"/>
    <w:link w:val="Heading8Char"/>
    <w:uiPriority w:val="9"/>
    <w:semiHidden/>
    <w:unhideWhenUsed/>
    <w:qFormat/>
    <w:rsid w:val="0098358C"/>
    <w:pPr>
      <w:keepNext/>
      <w:keepLines/>
      <w:spacing w:line="278" w:lineRule="auto"/>
      <w:outlineLvl w:val="7"/>
    </w:pPr>
    <w:rPr>
      <w:rFonts w:asciiTheme="minorHAnsi" w:eastAsiaTheme="majorEastAsia" w:hAnsiTheme="minorHAnsi" w:cstheme="majorBidi"/>
      <w:i/>
      <w:iCs/>
      <w:color w:val="272727" w:themeColor="text1" w:themeTint="D8"/>
      <w:sz w:val="28"/>
      <w:szCs w:val="27"/>
    </w:rPr>
  </w:style>
  <w:style w:type="paragraph" w:styleId="Heading9">
    <w:name w:val="heading 9"/>
    <w:basedOn w:val="Normal"/>
    <w:next w:val="Normal"/>
    <w:link w:val="Heading9Char"/>
    <w:uiPriority w:val="9"/>
    <w:semiHidden/>
    <w:unhideWhenUsed/>
    <w:qFormat/>
    <w:rsid w:val="0098358C"/>
    <w:pPr>
      <w:keepNext/>
      <w:keepLines/>
      <w:spacing w:line="278" w:lineRule="auto"/>
      <w:outlineLvl w:val="8"/>
    </w:pPr>
    <w:rPr>
      <w:rFonts w:asciiTheme="minorHAnsi" w:eastAsiaTheme="majorEastAsia" w:hAnsiTheme="minorHAnsi" w:cstheme="majorBidi"/>
      <w:color w:val="272727" w:themeColor="text1" w:themeTint="D8"/>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58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835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35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35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5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5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5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58C"/>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58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8358C"/>
    <w:pPr>
      <w:spacing w:before="160" w:after="160" w:line="278" w:lineRule="auto"/>
      <w:jc w:val="center"/>
    </w:pPr>
    <w:rPr>
      <w:rFonts w:ascii="Times New Roman" w:eastAsiaTheme="minorHAnsi" w:hAnsi="Times New Roman" w:cs="Times New Roman"/>
      <w:i/>
      <w:iCs/>
      <w:color w:val="404040" w:themeColor="text1" w:themeTint="BF"/>
      <w:sz w:val="28"/>
      <w:szCs w:val="27"/>
    </w:rPr>
  </w:style>
  <w:style w:type="character" w:customStyle="1" w:styleId="QuoteChar">
    <w:name w:val="Quote Char"/>
    <w:basedOn w:val="DefaultParagraphFont"/>
    <w:link w:val="Quote"/>
    <w:uiPriority w:val="29"/>
    <w:rsid w:val="0098358C"/>
    <w:rPr>
      <w:i/>
      <w:iCs/>
      <w:color w:val="404040" w:themeColor="text1" w:themeTint="BF"/>
    </w:rPr>
  </w:style>
  <w:style w:type="paragraph" w:styleId="ListParagraph">
    <w:name w:val="List Paragraph"/>
    <w:basedOn w:val="Normal"/>
    <w:uiPriority w:val="34"/>
    <w:qFormat/>
    <w:rsid w:val="0098358C"/>
    <w:pPr>
      <w:spacing w:after="160" w:line="278" w:lineRule="auto"/>
      <w:ind w:left="720"/>
      <w:contextualSpacing/>
    </w:pPr>
    <w:rPr>
      <w:rFonts w:ascii="Times New Roman" w:eastAsiaTheme="minorHAnsi" w:hAnsi="Times New Roman" w:cs="Times New Roman"/>
      <w:sz w:val="28"/>
      <w:szCs w:val="27"/>
    </w:rPr>
  </w:style>
  <w:style w:type="character" w:styleId="IntenseEmphasis">
    <w:name w:val="Intense Emphasis"/>
    <w:basedOn w:val="DefaultParagraphFont"/>
    <w:uiPriority w:val="21"/>
    <w:qFormat/>
    <w:rsid w:val="0098358C"/>
    <w:rPr>
      <w:i/>
      <w:iCs/>
      <w:color w:val="0F4761" w:themeColor="accent1" w:themeShade="BF"/>
    </w:rPr>
  </w:style>
  <w:style w:type="paragraph" w:styleId="IntenseQuote">
    <w:name w:val="Intense Quote"/>
    <w:basedOn w:val="Normal"/>
    <w:next w:val="Normal"/>
    <w:link w:val="IntenseQuoteChar"/>
    <w:uiPriority w:val="30"/>
    <w:qFormat/>
    <w:rsid w:val="009835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imes New Roman"/>
      <w:i/>
      <w:iCs/>
      <w:color w:val="0F4761" w:themeColor="accent1" w:themeShade="BF"/>
      <w:sz w:val="28"/>
      <w:szCs w:val="27"/>
    </w:rPr>
  </w:style>
  <w:style w:type="character" w:customStyle="1" w:styleId="IntenseQuoteChar">
    <w:name w:val="Intense Quote Char"/>
    <w:basedOn w:val="DefaultParagraphFont"/>
    <w:link w:val="IntenseQuote"/>
    <w:uiPriority w:val="30"/>
    <w:rsid w:val="0098358C"/>
    <w:rPr>
      <w:i/>
      <w:iCs/>
      <w:color w:val="0F4761" w:themeColor="accent1" w:themeShade="BF"/>
    </w:rPr>
  </w:style>
  <w:style w:type="character" w:styleId="IntenseReference">
    <w:name w:val="Intense Reference"/>
    <w:basedOn w:val="DefaultParagraphFont"/>
    <w:uiPriority w:val="32"/>
    <w:qFormat/>
    <w:rsid w:val="0098358C"/>
    <w:rPr>
      <w:b/>
      <w:bCs/>
      <w:smallCaps/>
      <w:color w:val="0F4761" w:themeColor="accent1" w:themeShade="BF"/>
      <w:spacing w:val="5"/>
    </w:rPr>
  </w:style>
  <w:style w:type="paragraph" w:customStyle="1" w:styleId="Char">
    <w:name w:val="Char"/>
    <w:basedOn w:val="Normal"/>
    <w:autoRedefine/>
    <w:rsid w:val="00574849"/>
    <w:pPr>
      <w:spacing w:after="160" w:line="240" w:lineRule="exact"/>
    </w:pPr>
    <w:rPr>
      <w:rFonts w:ascii="Verdana" w:hAnsi="Verdana" w:cs="Verdana"/>
    </w:rPr>
  </w:style>
  <w:style w:type="paragraph" w:styleId="NormalWeb">
    <w:name w:val="Normal (Web)"/>
    <w:basedOn w:val="Normal"/>
    <w:uiPriority w:val="99"/>
    <w:semiHidden/>
    <w:unhideWhenUsed/>
    <w:rsid w:val="00E27928"/>
    <w:pPr>
      <w:spacing w:before="100" w:beforeAutospacing="1" w:after="100" w:afterAutospacing="1"/>
    </w:pPr>
    <w:rPr>
      <w:rFonts w:ascii="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33742">
      <w:bodyDiv w:val="1"/>
      <w:marLeft w:val="0"/>
      <w:marRight w:val="0"/>
      <w:marTop w:val="0"/>
      <w:marBottom w:val="0"/>
      <w:divBdr>
        <w:top w:val="none" w:sz="0" w:space="0" w:color="auto"/>
        <w:left w:val="none" w:sz="0" w:space="0" w:color="auto"/>
        <w:bottom w:val="none" w:sz="0" w:space="0" w:color="auto"/>
        <w:right w:val="none" w:sz="0" w:space="0" w:color="auto"/>
      </w:divBdr>
    </w:div>
    <w:div w:id="9614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 Giang</cp:lastModifiedBy>
  <cp:revision>41</cp:revision>
  <cp:lastPrinted>2025-11-13T08:06:00Z</cp:lastPrinted>
  <dcterms:created xsi:type="dcterms:W3CDTF">2026-03-29T02:30:00Z</dcterms:created>
  <dcterms:modified xsi:type="dcterms:W3CDTF">2026-04-01T04:04:00Z</dcterms:modified>
</cp:coreProperties>
</file>