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097" w:type="dxa"/>
        <w:tblInd w:w="101" w:type="dxa"/>
        <w:tblLayout w:type="fixed"/>
        <w:tblCellMar>
          <w:left w:w="0" w:type="dxa"/>
          <w:right w:w="0" w:type="dxa"/>
        </w:tblCellMar>
        <w:tblLook w:val="01E0" w:firstRow="1" w:lastRow="1" w:firstColumn="1" w:lastColumn="1" w:noHBand="0" w:noVBand="0"/>
      </w:tblPr>
      <w:tblGrid>
        <w:gridCol w:w="5853"/>
        <w:gridCol w:w="12244"/>
      </w:tblGrid>
      <w:tr w:rsidR="009C2EED" w:rsidRPr="008E7E46" w14:paraId="1365F078" w14:textId="77777777" w:rsidTr="008E2958">
        <w:trPr>
          <w:trHeight w:val="1209"/>
        </w:trPr>
        <w:tc>
          <w:tcPr>
            <w:tcW w:w="5853" w:type="dxa"/>
          </w:tcPr>
          <w:p w14:paraId="2955F842" w14:textId="11989D25" w:rsidR="009C2EED" w:rsidRPr="008E7E46" w:rsidRDefault="00DC086F" w:rsidP="008E7E46">
            <w:pPr>
              <w:pStyle w:val="TableParagraph"/>
              <w:spacing w:line="287" w:lineRule="exact"/>
              <w:ind w:left="3" w:right="385"/>
              <w:jc w:val="center"/>
              <w:rPr>
                <w:sz w:val="24"/>
                <w:szCs w:val="24"/>
              </w:rPr>
            </w:pPr>
            <w:r>
              <w:rPr>
                <w:sz w:val="24"/>
                <w:szCs w:val="24"/>
                <w:lang w:val="en-US"/>
              </w:rPr>
              <w:t xml:space="preserve">     </w:t>
            </w:r>
            <w:r w:rsidR="008E0A09">
              <w:rPr>
                <w:sz w:val="24"/>
                <w:szCs w:val="24"/>
                <w:lang w:val="en-US"/>
              </w:rPr>
              <w:t xml:space="preserve"> </w:t>
            </w:r>
            <w:r w:rsidR="00C46531">
              <w:rPr>
                <w:sz w:val="24"/>
                <w:szCs w:val="24"/>
                <w:lang w:val="en-US"/>
              </w:rPr>
              <w:t xml:space="preserve">          </w:t>
            </w:r>
            <w:r w:rsidR="009C2EED" w:rsidRPr="008E7E46">
              <w:rPr>
                <w:sz w:val="24"/>
                <w:szCs w:val="24"/>
              </w:rPr>
              <w:t>UBND</w:t>
            </w:r>
            <w:r w:rsidR="009C2EED" w:rsidRPr="008E7E46">
              <w:rPr>
                <w:spacing w:val="-8"/>
                <w:sz w:val="24"/>
                <w:szCs w:val="24"/>
              </w:rPr>
              <w:t xml:space="preserve"> </w:t>
            </w:r>
            <w:r w:rsidR="009C2EED" w:rsidRPr="008E7E46">
              <w:rPr>
                <w:sz w:val="24"/>
                <w:szCs w:val="24"/>
              </w:rPr>
              <w:t>T</w:t>
            </w:r>
            <w:r w:rsidR="00CF5D23">
              <w:rPr>
                <w:sz w:val="24"/>
                <w:szCs w:val="24"/>
                <w:lang w:val="en-US"/>
              </w:rPr>
              <w:t>HÀNH PHỐ</w:t>
            </w:r>
            <w:r w:rsidR="009C2EED" w:rsidRPr="008E7E46">
              <w:rPr>
                <w:spacing w:val="-7"/>
                <w:sz w:val="24"/>
                <w:szCs w:val="24"/>
              </w:rPr>
              <w:t xml:space="preserve"> </w:t>
            </w:r>
            <w:r w:rsidR="009C2EED" w:rsidRPr="008E7E46">
              <w:rPr>
                <w:sz w:val="24"/>
                <w:szCs w:val="24"/>
              </w:rPr>
              <w:t>ĐỒNG</w:t>
            </w:r>
            <w:r w:rsidR="009C2EED" w:rsidRPr="008E7E46">
              <w:rPr>
                <w:spacing w:val="-7"/>
                <w:sz w:val="24"/>
                <w:szCs w:val="24"/>
              </w:rPr>
              <w:t xml:space="preserve"> </w:t>
            </w:r>
            <w:r w:rsidR="009C2EED" w:rsidRPr="008E7E46">
              <w:rPr>
                <w:spacing w:val="-5"/>
                <w:sz w:val="24"/>
                <w:szCs w:val="24"/>
              </w:rPr>
              <w:t>NAI</w:t>
            </w:r>
          </w:p>
          <w:p w14:paraId="6221C27B" w14:textId="1D229CA5" w:rsidR="009C2EED" w:rsidRPr="00CF5D23" w:rsidRDefault="008E2958" w:rsidP="008E7E46">
            <w:pPr>
              <w:pStyle w:val="TableParagraph"/>
              <w:spacing w:before="8" w:after="78"/>
              <w:ind w:left="2" w:right="385"/>
              <w:jc w:val="center"/>
              <w:rPr>
                <w:b/>
                <w:sz w:val="24"/>
                <w:szCs w:val="24"/>
                <w:lang w:val="en-US"/>
              </w:rPr>
            </w:pPr>
            <w:r>
              <w:rPr>
                <w:b/>
                <w:noProof/>
                <w:sz w:val="24"/>
                <w:szCs w:val="24"/>
                <w14:ligatures w14:val="standardContextual"/>
              </w:rPr>
              <mc:AlternateContent>
                <mc:Choice Requires="wps">
                  <w:drawing>
                    <wp:anchor distT="0" distB="0" distL="114300" distR="114300" simplePos="0" relativeHeight="251659264" behindDoc="0" locked="0" layoutInCell="1" allowOverlap="1" wp14:anchorId="6705CD53" wp14:editId="1B3770B7">
                      <wp:simplePos x="0" y="0"/>
                      <wp:positionH relativeFrom="column">
                        <wp:posOffset>1207770</wp:posOffset>
                      </wp:positionH>
                      <wp:positionV relativeFrom="paragraph">
                        <wp:posOffset>218440</wp:posOffset>
                      </wp:positionV>
                      <wp:extent cx="14605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46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9E385"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17.2pt" to="210.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" strokecolor="black [3200]" strokeweight=".5pt">
                      <v:stroke joinstyle="miter"/>
                    </v:line>
                  </w:pict>
                </mc:Fallback>
              </mc:AlternateContent>
            </w:r>
            <w:r w:rsidR="00DC086F">
              <w:rPr>
                <w:b/>
                <w:sz w:val="24"/>
                <w:szCs w:val="24"/>
                <w:lang w:val="en-US"/>
              </w:rPr>
              <w:t xml:space="preserve">   </w:t>
            </w:r>
            <w:r w:rsidR="00C46531">
              <w:rPr>
                <w:b/>
                <w:sz w:val="24"/>
                <w:szCs w:val="24"/>
                <w:lang w:val="en-US"/>
              </w:rPr>
              <w:t xml:space="preserve">          </w:t>
            </w:r>
            <w:r w:rsidR="00DC086F">
              <w:rPr>
                <w:b/>
                <w:sz w:val="24"/>
                <w:szCs w:val="24"/>
                <w:lang w:val="en-US"/>
              </w:rPr>
              <w:t xml:space="preserve"> </w:t>
            </w:r>
            <w:r w:rsidR="009C2EED" w:rsidRPr="008E7E46">
              <w:rPr>
                <w:b/>
                <w:sz w:val="24"/>
                <w:szCs w:val="24"/>
              </w:rPr>
              <w:t>SỞ</w:t>
            </w:r>
            <w:r w:rsidR="009C2EED" w:rsidRPr="008E7E46">
              <w:rPr>
                <w:b/>
                <w:spacing w:val="-5"/>
                <w:sz w:val="24"/>
                <w:szCs w:val="24"/>
              </w:rPr>
              <w:t xml:space="preserve"> </w:t>
            </w:r>
            <w:r w:rsidR="00CF5D23">
              <w:rPr>
                <w:b/>
                <w:sz w:val="24"/>
                <w:szCs w:val="24"/>
                <w:lang w:val="en-US"/>
              </w:rPr>
              <w:t>VĂN HÓA, THỂ THAO VÀ DU LỊCH</w:t>
            </w:r>
          </w:p>
          <w:p w14:paraId="5639032E" w14:textId="5BA22D50" w:rsidR="009C2EED" w:rsidRPr="008E7E46" w:rsidRDefault="009C2EED" w:rsidP="008E7E46">
            <w:pPr>
              <w:pStyle w:val="TableParagraph"/>
              <w:spacing w:line="20" w:lineRule="exact"/>
              <w:ind w:left="872"/>
              <w:jc w:val="center"/>
              <w:rPr>
                <w:sz w:val="24"/>
                <w:szCs w:val="24"/>
              </w:rPr>
            </w:pPr>
          </w:p>
        </w:tc>
        <w:tc>
          <w:tcPr>
            <w:tcW w:w="12244" w:type="dxa"/>
          </w:tcPr>
          <w:p w14:paraId="643BDC5E" w14:textId="34A78FD3" w:rsidR="009C2EED" w:rsidRPr="008E7E46" w:rsidRDefault="00DC086F" w:rsidP="00DC086F">
            <w:pPr>
              <w:pStyle w:val="TableParagraph"/>
              <w:spacing w:line="294" w:lineRule="exact"/>
              <w:ind w:left="383"/>
              <w:rPr>
                <w:b/>
                <w:sz w:val="24"/>
                <w:szCs w:val="24"/>
              </w:rPr>
            </w:pPr>
            <w:r>
              <w:rPr>
                <w:b/>
                <w:sz w:val="24"/>
                <w:szCs w:val="24"/>
                <w:lang w:val="en-US"/>
              </w:rPr>
              <w:t xml:space="preserve">              </w:t>
            </w:r>
            <w:r w:rsidR="009C2EED" w:rsidRPr="008E7E46">
              <w:rPr>
                <w:b/>
                <w:sz w:val="24"/>
                <w:szCs w:val="24"/>
              </w:rPr>
              <w:t>CỘNG</w:t>
            </w:r>
            <w:r w:rsidR="009C2EED" w:rsidRPr="008E7E46">
              <w:rPr>
                <w:b/>
                <w:spacing w:val="-8"/>
                <w:sz w:val="24"/>
                <w:szCs w:val="24"/>
              </w:rPr>
              <w:t xml:space="preserve"> </w:t>
            </w:r>
            <w:r w:rsidR="009C2EED" w:rsidRPr="008E7E46">
              <w:rPr>
                <w:b/>
                <w:sz w:val="24"/>
                <w:szCs w:val="24"/>
              </w:rPr>
              <w:t>HOÀ</w:t>
            </w:r>
            <w:r w:rsidR="009C2EED" w:rsidRPr="008E7E46">
              <w:rPr>
                <w:b/>
                <w:spacing w:val="-6"/>
                <w:sz w:val="24"/>
                <w:szCs w:val="24"/>
              </w:rPr>
              <w:t xml:space="preserve"> </w:t>
            </w:r>
            <w:r w:rsidR="009C2EED" w:rsidRPr="008E7E46">
              <w:rPr>
                <w:b/>
                <w:sz w:val="24"/>
                <w:szCs w:val="24"/>
              </w:rPr>
              <w:t>XÃ</w:t>
            </w:r>
            <w:r w:rsidR="009C2EED" w:rsidRPr="008E7E46">
              <w:rPr>
                <w:b/>
                <w:spacing w:val="-6"/>
                <w:sz w:val="24"/>
                <w:szCs w:val="24"/>
              </w:rPr>
              <w:t xml:space="preserve"> </w:t>
            </w:r>
            <w:r w:rsidR="009C2EED" w:rsidRPr="008E7E46">
              <w:rPr>
                <w:b/>
                <w:sz w:val="24"/>
                <w:szCs w:val="24"/>
              </w:rPr>
              <w:t>HỘI</w:t>
            </w:r>
            <w:r w:rsidR="009C2EED" w:rsidRPr="008E7E46">
              <w:rPr>
                <w:b/>
                <w:spacing w:val="-6"/>
                <w:sz w:val="24"/>
                <w:szCs w:val="24"/>
              </w:rPr>
              <w:t xml:space="preserve"> </w:t>
            </w:r>
            <w:r w:rsidR="009C2EED" w:rsidRPr="008E7E46">
              <w:rPr>
                <w:b/>
                <w:sz w:val="24"/>
                <w:szCs w:val="24"/>
              </w:rPr>
              <w:t>CHỦ</w:t>
            </w:r>
            <w:r w:rsidR="009C2EED" w:rsidRPr="008E7E46">
              <w:rPr>
                <w:b/>
                <w:spacing w:val="-7"/>
                <w:sz w:val="24"/>
                <w:szCs w:val="24"/>
              </w:rPr>
              <w:t xml:space="preserve"> </w:t>
            </w:r>
            <w:r w:rsidR="009C2EED" w:rsidRPr="008E7E46">
              <w:rPr>
                <w:b/>
                <w:sz w:val="24"/>
                <w:szCs w:val="24"/>
              </w:rPr>
              <w:t>NGHĨA</w:t>
            </w:r>
            <w:r w:rsidR="009C2EED" w:rsidRPr="008E7E46">
              <w:rPr>
                <w:b/>
                <w:spacing w:val="-8"/>
                <w:sz w:val="24"/>
                <w:szCs w:val="24"/>
              </w:rPr>
              <w:t xml:space="preserve"> </w:t>
            </w:r>
            <w:r w:rsidR="009C2EED" w:rsidRPr="008E7E46">
              <w:rPr>
                <w:b/>
                <w:sz w:val="24"/>
                <w:szCs w:val="24"/>
              </w:rPr>
              <w:t>VIỆT</w:t>
            </w:r>
            <w:r w:rsidR="009C2EED" w:rsidRPr="008E7E46">
              <w:rPr>
                <w:b/>
                <w:spacing w:val="-6"/>
                <w:sz w:val="24"/>
                <w:szCs w:val="24"/>
              </w:rPr>
              <w:t xml:space="preserve"> </w:t>
            </w:r>
            <w:r w:rsidR="009C2EED" w:rsidRPr="008E7E46">
              <w:rPr>
                <w:b/>
                <w:spacing w:val="-5"/>
                <w:sz w:val="24"/>
                <w:szCs w:val="24"/>
              </w:rPr>
              <w:t>NAM</w:t>
            </w:r>
          </w:p>
          <w:p w14:paraId="6781E820" w14:textId="250D2778" w:rsidR="009C2EED" w:rsidRPr="008E7E46" w:rsidRDefault="00776E0D" w:rsidP="00DC086F">
            <w:pPr>
              <w:pStyle w:val="TableParagraph"/>
              <w:spacing w:after="57" w:line="322" w:lineRule="exact"/>
              <w:ind w:left="392"/>
              <w:rPr>
                <w:b/>
                <w:sz w:val="24"/>
                <w:szCs w:val="24"/>
              </w:rPr>
            </w:pPr>
            <w:r>
              <w:rPr>
                <w:b/>
                <w:noProof/>
                <w:sz w:val="24"/>
                <w:szCs w:val="24"/>
                <w14:ligatures w14:val="standardContextual"/>
              </w:rPr>
              <mc:AlternateContent>
                <mc:Choice Requires="wps">
                  <w:drawing>
                    <wp:anchor distT="0" distB="0" distL="114300" distR="114300" simplePos="0" relativeHeight="251660288" behindDoc="0" locked="0" layoutInCell="1" allowOverlap="1" wp14:anchorId="455DCE2B" wp14:editId="155E12BB">
                      <wp:simplePos x="0" y="0"/>
                      <wp:positionH relativeFrom="column">
                        <wp:posOffset>1510030</wp:posOffset>
                      </wp:positionH>
                      <wp:positionV relativeFrom="paragraph">
                        <wp:posOffset>213995</wp:posOffset>
                      </wp:positionV>
                      <wp:extent cx="178523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52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3E49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6.85pt" to="25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r4mQEAAIgDAAAOAAAAZHJzL2Uyb0RvYy54bWysU9uO0zAQfUfiHyy/06RFwB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" strokecolor="black [3200]" strokeweight=".5pt">
                      <v:stroke joinstyle="miter"/>
                    </v:line>
                  </w:pict>
                </mc:Fallback>
              </mc:AlternateContent>
            </w:r>
            <w:r w:rsidR="00DC086F">
              <w:rPr>
                <w:b/>
                <w:sz w:val="24"/>
                <w:szCs w:val="24"/>
                <w:lang w:val="en-US"/>
              </w:rPr>
              <w:t xml:space="preserve">                                </w:t>
            </w:r>
            <w:r w:rsidR="009C2EED" w:rsidRPr="008E7E46">
              <w:rPr>
                <w:b/>
                <w:sz w:val="24"/>
                <w:szCs w:val="24"/>
              </w:rPr>
              <w:t>Độc</w:t>
            </w:r>
            <w:r w:rsidR="009C2EED" w:rsidRPr="008E7E46">
              <w:rPr>
                <w:b/>
                <w:spacing w:val="-2"/>
                <w:sz w:val="24"/>
                <w:szCs w:val="24"/>
              </w:rPr>
              <w:t xml:space="preserve"> </w:t>
            </w:r>
            <w:r w:rsidR="009C2EED" w:rsidRPr="008E7E46">
              <w:rPr>
                <w:b/>
                <w:sz w:val="24"/>
                <w:szCs w:val="24"/>
              </w:rPr>
              <w:t>lập</w:t>
            </w:r>
            <w:r w:rsidR="009C2EED" w:rsidRPr="008E7E46">
              <w:rPr>
                <w:b/>
                <w:spacing w:val="-2"/>
                <w:sz w:val="24"/>
                <w:szCs w:val="24"/>
              </w:rPr>
              <w:t xml:space="preserve"> </w:t>
            </w:r>
            <w:r w:rsidR="009C2EED" w:rsidRPr="008E7E46">
              <w:rPr>
                <w:b/>
                <w:sz w:val="24"/>
                <w:szCs w:val="24"/>
              </w:rPr>
              <w:t>-</w:t>
            </w:r>
            <w:r w:rsidR="009C2EED" w:rsidRPr="008E7E46">
              <w:rPr>
                <w:b/>
                <w:spacing w:val="-2"/>
                <w:sz w:val="24"/>
                <w:szCs w:val="24"/>
              </w:rPr>
              <w:t xml:space="preserve"> </w:t>
            </w:r>
            <w:r w:rsidR="009C2EED" w:rsidRPr="008E7E46">
              <w:rPr>
                <w:b/>
                <w:sz w:val="24"/>
                <w:szCs w:val="24"/>
              </w:rPr>
              <w:t>Tự</w:t>
            </w:r>
            <w:r w:rsidR="009C2EED" w:rsidRPr="008E7E46">
              <w:rPr>
                <w:b/>
                <w:spacing w:val="-3"/>
                <w:sz w:val="24"/>
                <w:szCs w:val="24"/>
              </w:rPr>
              <w:t xml:space="preserve"> </w:t>
            </w:r>
            <w:r w:rsidR="009C2EED" w:rsidRPr="008E7E46">
              <w:rPr>
                <w:b/>
                <w:sz w:val="24"/>
                <w:szCs w:val="24"/>
              </w:rPr>
              <w:t>do -</w:t>
            </w:r>
            <w:r w:rsidR="009C2EED" w:rsidRPr="008E7E46">
              <w:rPr>
                <w:b/>
                <w:spacing w:val="-3"/>
                <w:sz w:val="24"/>
                <w:szCs w:val="24"/>
              </w:rPr>
              <w:t xml:space="preserve"> </w:t>
            </w:r>
            <w:r w:rsidR="009C2EED" w:rsidRPr="008E7E46">
              <w:rPr>
                <w:b/>
                <w:sz w:val="24"/>
                <w:szCs w:val="24"/>
              </w:rPr>
              <w:t>Hạnh</w:t>
            </w:r>
            <w:r w:rsidR="009C2EED" w:rsidRPr="008E7E46">
              <w:rPr>
                <w:b/>
                <w:spacing w:val="-2"/>
                <w:sz w:val="24"/>
                <w:szCs w:val="24"/>
              </w:rPr>
              <w:t xml:space="preserve"> </w:t>
            </w:r>
            <w:r w:rsidR="009C2EED" w:rsidRPr="008E7E46">
              <w:rPr>
                <w:b/>
                <w:spacing w:val="-4"/>
                <w:sz w:val="24"/>
                <w:szCs w:val="24"/>
              </w:rPr>
              <w:t>phúc</w:t>
            </w:r>
          </w:p>
          <w:p w14:paraId="558611CE" w14:textId="47C0D893" w:rsidR="009C2EED" w:rsidRPr="008E7E46" w:rsidRDefault="009C2EED" w:rsidP="008E7E46">
            <w:pPr>
              <w:pStyle w:val="TableParagraph"/>
              <w:spacing w:line="20" w:lineRule="exact"/>
              <w:ind w:left="1479"/>
              <w:jc w:val="center"/>
              <w:rPr>
                <w:sz w:val="24"/>
                <w:szCs w:val="24"/>
              </w:rPr>
            </w:pPr>
          </w:p>
        </w:tc>
      </w:tr>
    </w:tbl>
    <w:p w14:paraId="32AC00AF" w14:textId="16F660FE" w:rsidR="00A207C3" w:rsidRPr="008E7E46" w:rsidRDefault="00A207C3" w:rsidP="00CF5D23">
      <w:pPr>
        <w:autoSpaceDE w:val="0"/>
        <w:autoSpaceDN w:val="0"/>
        <w:adjustRightInd w:val="0"/>
        <w:spacing w:before="120"/>
        <w:rPr>
          <w:rFonts w:ascii="Times New Roman" w:hAnsi="Times New Roman" w:cs="Times New Roman"/>
          <w:b/>
          <w:bCs/>
          <w:sz w:val="24"/>
          <w:szCs w:val="24"/>
          <w:lang w:val="en-US"/>
        </w:rPr>
      </w:pPr>
    </w:p>
    <w:p w14:paraId="3B7B1B2E" w14:textId="77777777" w:rsidR="00A00147" w:rsidRDefault="00A207C3" w:rsidP="00AC4C50">
      <w:pPr>
        <w:spacing w:before="60"/>
        <w:jc w:val="center"/>
        <w:rPr>
          <w:rFonts w:ascii="Times New Roman" w:hAnsi="Times New Roman" w:cs="Times New Roman"/>
          <w:b/>
          <w:bCs/>
          <w:spacing w:val="-4"/>
          <w:sz w:val="24"/>
          <w:szCs w:val="24"/>
          <w:lang w:val="en-US"/>
        </w:rPr>
      </w:pPr>
      <w:r w:rsidRPr="008E7E46">
        <w:rPr>
          <w:rFonts w:ascii="Times New Roman" w:hAnsi="Times New Roman" w:cs="Times New Roman"/>
          <w:b/>
          <w:bCs/>
          <w:sz w:val="24"/>
          <w:szCs w:val="24"/>
          <w:lang w:val="en"/>
        </w:rPr>
        <w:t>B</w:t>
      </w:r>
      <w:r w:rsidRPr="008E7E46">
        <w:rPr>
          <w:rFonts w:ascii="Times New Roman" w:hAnsi="Times New Roman" w:cs="Times New Roman"/>
          <w:b/>
          <w:bCs/>
          <w:sz w:val="24"/>
          <w:szCs w:val="24"/>
        </w:rPr>
        <w:t>ẢN SO S</w:t>
      </w:r>
      <w:r w:rsidRPr="008E7E46">
        <w:rPr>
          <w:rFonts w:ascii="Times New Roman" w:hAnsi="Times New Roman" w:cs="Times New Roman"/>
          <w:b/>
          <w:bCs/>
          <w:sz w:val="24"/>
          <w:szCs w:val="24"/>
          <w:lang w:val="en-US"/>
        </w:rPr>
        <w:t>ÁNH, THUY</w:t>
      </w:r>
      <w:r w:rsidRPr="008E7E46">
        <w:rPr>
          <w:rFonts w:ascii="Times New Roman" w:hAnsi="Times New Roman" w:cs="Times New Roman"/>
          <w:b/>
          <w:bCs/>
          <w:sz w:val="24"/>
          <w:szCs w:val="24"/>
        </w:rPr>
        <w:t xml:space="preserve">ẾT </w:t>
      </w:r>
      <w:r w:rsidR="008723EA" w:rsidRPr="008E7E46">
        <w:rPr>
          <w:rFonts w:ascii="Times New Roman" w:hAnsi="Times New Roman" w:cs="Times New Roman"/>
          <w:b/>
          <w:bCs/>
          <w:sz w:val="24"/>
          <w:szCs w:val="24"/>
        </w:rPr>
        <w:t>MINH DỰ THẢO VĂN BẢN QUY PHẠM</w:t>
      </w:r>
      <w:r w:rsidR="008723EA" w:rsidRPr="008E7E46">
        <w:rPr>
          <w:rFonts w:ascii="Times New Roman" w:hAnsi="Times New Roman" w:cs="Times New Roman"/>
          <w:b/>
          <w:bCs/>
          <w:sz w:val="24"/>
          <w:szCs w:val="24"/>
          <w:lang w:val="en-US"/>
        </w:rPr>
        <w:t xml:space="preserve"> </w:t>
      </w:r>
      <w:r w:rsidR="008723EA" w:rsidRPr="008E7E46">
        <w:rPr>
          <w:rFonts w:ascii="Times New Roman" w:hAnsi="Times New Roman" w:cs="Times New Roman"/>
          <w:b/>
          <w:bCs/>
          <w:sz w:val="24"/>
          <w:szCs w:val="24"/>
        </w:rPr>
        <w:t>PH</w:t>
      </w:r>
      <w:r w:rsidR="008723EA" w:rsidRPr="008E7E46">
        <w:rPr>
          <w:rFonts w:ascii="Times New Roman" w:hAnsi="Times New Roman" w:cs="Times New Roman"/>
          <w:b/>
          <w:bCs/>
          <w:sz w:val="24"/>
          <w:szCs w:val="24"/>
          <w:lang w:val="en-US"/>
        </w:rPr>
        <w:t>ÁP LU</w:t>
      </w:r>
      <w:r w:rsidR="008723EA" w:rsidRPr="008E7E46">
        <w:rPr>
          <w:rFonts w:ascii="Times New Roman" w:hAnsi="Times New Roman" w:cs="Times New Roman"/>
          <w:b/>
          <w:bCs/>
          <w:sz w:val="24"/>
          <w:szCs w:val="24"/>
        </w:rPr>
        <w:t>ẬT</w:t>
      </w:r>
      <w:r w:rsidR="008723EA" w:rsidRPr="008E7E46">
        <w:rPr>
          <w:rFonts w:ascii="Times New Roman" w:hAnsi="Times New Roman" w:cs="Times New Roman"/>
          <w:b/>
          <w:bCs/>
          <w:sz w:val="24"/>
          <w:szCs w:val="24"/>
          <w:lang w:val="en-US"/>
        </w:rPr>
        <w:t xml:space="preserve"> </w:t>
      </w:r>
      <w:r w:rsidR="008723EA">
        <w:rPr>
          <w:rFonts w:ascii="Times New Roman" w:hAnsi="Times New Roman" w:cs="Times New Roman"/>
          <w:b/>
          <w:bCs/>
          <w:sz w:val="24"/>
          <w:szCs w:val="24"/>
          <w:lang w:val="en-US"/>
        </w:rPr>
        <w:t>NGHỊ QUYẾT</w:t>
      </w:r>
      <w:r w:rsidR="008723EA" w:rsidRPr="008E7E46">
        <w:rPr>
          <w:rFonts w:ascii="Times New Roman" w:hAnsi="Times New Roman" w:cs="Times New Roman"/>
          <w:b/>
          <w:bCs/>
          <w:sz w:val="24"/>
          <w:szCs w:val="24"/>
          <w:lang w:val="en-US"/>
        </w:rPr>
        <w:t xml:space="preserve"> </w:t>
      </w:r>
      <w:r w:rsidR="00EA3F37" w:rsidRPr="00EA3F37">
        <w:rPr>
          <w:rFonts w:ascii="Times New Roman" w:hAnsi="Times New Roman" w:cs="Times New Roman"/>
          <w:b/>
          <w:bCs/>
          <w:spacing w:val="-4"/>
          <w:sz w:val="24"/>
          <w:szCs w:val="24"/>
          <w:lang w:val="en-US"/>
        </w:rPr>
        <w:t xml:space="preserve">QUY ĐỊNH </w:t>
      </w:r>
    </w:p>
    <w:p w14:paraId="4B7C6734" w14:textId="77777777" w:rsidR="00A00147" w:rsidRDefault="00EA3F37" w:rsidP="00A00147">
      <w:pPr>
        <w:spacing w:before="60"/>
        <w:jc w:val="center"/>
        <w:rPr>
          <w:rFonts w:ascii="Times New Roman" w:hAnsi="Times New Roman" w:cs="Times New Roman"/>
          <w:b/>
          <w:bCs/>
          <w:iCs/>
          <w:sz w:val="24"/>
          <w:szCs w:val="24"/>
          <w:lang w:val="en-US"/>
        </w:rPr>
      </w:pPr>
      <w:r w:rsidRPr="00EA3F37">
        <w:rPr>
          <w:rFonts w:ascii="Times New Roman" w:hAnsi="Times New Roman" w:cs="Times New Roman"/>
          <w:b/>
          <w:bCs/>
          <w:iCs/>
          <w:sz w:val="24"/>
          <w:szCs w:val="24"/>
          <w:lang w:val="en-US"/>
        </w:rPr>
        <w:t xml:space="preserve">MỨC CHI THỰC HIỆN CÔNG TÁC THĂM DÒ, KHAI QUẬT KHẢO CỔ TỪ NGUỒN NGÂN SÁCH NHÀ NƯỚC </w:t>
      </w:r>
    </w:p>
    <w:p w14:paraId="4C03FB6B" w14:textId="7E902322" w:rsidR="00CF5D23" w:rsidRPr="00AC4C50" w:rsidRDefault="00EA3F37" w:rsidP="00A00147">
      <w:pPr>
        <w:spacing w:before="60"/>
        <w:jc w:val="center"/>
        <w:rPr>
          <w:rFonts w:ascii="Times New Roman" w:hAnsi="Times New Roman" w:cs="Times New Roman"/>
          <w:b/>
          <w:bCs/>
          <w:iCs/>
          <w:sz w:val="24"/>
          <w:szCs w:val="24"/>
          <w:lang w:val="en-US"/>
        </w:rPr>
      </w:pPr>
      <w:r w:rsidRPr="00EA3F37">
        <w:rPr>
          <w:rFonts w:ascii="Times New Roman" w:hAnsi="Times New Roman" w:cs="Times New Roman"/>
          <w:b/>
          <w:bCs/>
          <w:iCs/>
          <w:sz w:val="24"/>
          <w:szCs w:val="24"/>
          <w:lang w:val="en-US"/>
        </w:rPr>
        <w:t>TRÊN ĐỊA BÀN THÀNH PHỐ ĐỒNG NAI</w:t>
      </w:r>
      <w:r w:rsidR="00AC4C50">
        <w:rPr>
          <w:rFonts w:ascii="Times New Roman" w:hAnsi="Times New Roman" w:cs="Times New Roman"/>
          <w:b/>
          <w:bCs/>
          <w:iCs/>
          <w:sz w:val="24"/>
          <w:szCs w:val="24"/>
          <w:lang w:val="en-US"/>
        </w:rPr>
        <w:t xml:space="preserve"> VỚI NGHỊ QUYẾT SỐ 04/2020/NQ-HĐND</w:t>
      </w:r>
    </w:p>
    <w:p w14:paraId="496878C3" w14:textId="77777777" w:rsidR="00EA3F37" w:rsidRDefault="00EA3F37" w:rsidP="00AC4C50">
      <w:pPr>
        <w:spacing w:before="120" w:after="100" w:afterAutospacing="1"/>
        <w:jc w:val="center"/>
        <w:rPr>
          <w:rFonts w:ascii="Times New Roman" w:hAnsi="Times New Roman" w:cs="Times New Roman"/>
          <w:b/>
          <w:bCs/>
          <w:sz w:val="24"/>
          <w:szCs w:val="24"/>
          <w:lang w:val="en-US"/>
        </w:rPr>
      </w:pPr>
    </w:p>
    <w:p w14:paraId="1F4EE3CC" w14:textId="77777777" w:rsidR="00E11A24" w:rsidRPr="008E7E46" w:rsidRDefault="00E11A24" w:rsidP="00430336">
      <w:pPr>
        <w:autoSpaceDE w:val="0"/>
        <w:autoSpaceDN w:val="0"/>
        <w:adjustRightInd w:val="0"/>
        <w:spacing w:before="120"/>
        <w:jc w:val="both"/>
        <w:rPr>
          <w:rFonts w:ascii="Times New Roman" w:hAnsi="Times New Roman" w:cs="Times New Roman"/>
          <w:b/>
          <w:bCs/>
          <w:sz w:val="24"/>
          <w:szCs w:val="24"/>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5"/>
        <w:gridCol w:w="4933"/>
        <w:gridCol w:w="3915"/>
      </w:tblGrid>
      <w:tr w:rsidR="008E2958" w:rsidRPr="008E7E46" w14:paraId="186B1D5B" w14:textId="77777777" w:rsidTr="008E2958">
        <w:tc>
          <w:tcPr>
            <w:tcW w:w="1818" w:type="pct"/>
            <w:shd w:val="clear" w:color="auto" w:fill="FFFFFF"/>
          </w:tcPr>
          <w:p w14:paraId="6CDD5F01" w14:textId="77777777" w:rsidR="00A207C3" w:rsidRPr="008E7E46" w:rsidRDefault="00A207C3" w:rsidP="00CE672A">
            <w:pPr>
              <w:autoSpaceDE w:val="0"/>
              <w:autoSpaceDN w:val="0"/>
              <w:adjustRightInd w:val="0"/>
              <w:spacing w:before="60" w:after="60"/>
              <w:ind w:left="1" w:right="98"/>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QUY PH</w:t>
            </w:r>
            <w:r w:rsidRPr="008E7E46">
              <w:rPr>
                <w:rFonts w:ascii="Times New Roman" w:hAnsi="Times New Roman" w:cs="Times New Roman"/>
                <w:b/>
                <w:bCs/>
                <w:sz w:val="24"/>
                <w:szCs w:val="24"/>
              </w:rPr>
              <w:t>ẠM PH</w:t>
            </w:r>
            <w:r w:rsidRPr="008E7E46">
              <w:rPr>
                <w:rFonts w:ascii="Times New Roman" w:hAnsi="Times New Roman" w:cs="Times New Roman"/>
                <w:b/>
                <w:bCs/>
                <w:sz w:val="24"/>
                <w:szCs w:val="24"/>
                <w:lang w:val="en-US"/>
              </w:rPr>
              <w:t>ÁP LU</w:t>
            </w:r>
            <w:r w:rsidRPr="008E7E46">
              <w:rPr>
                <w:rFonts w:ascii="Times New Roman" w:hAnsi="Times New Roman" w:cs="Times New Roman"/>
                <w:b/>
                <w:bCs/>
                <w:sz w:val="24"/>
                <w:szCs w:val="24"/>
              </w:rPr>
              <w:t>ẬT HIỆN H</w:t>
            </w:r>
            <w:r w:rsidRPr="008E7E46">
              <w:rPr>
                <w:rFonts w:ascii="Times New Roman" w:hAnsi="Times New Roman" w:cs="Times New Roman"/>
                <w:b/>
                <w:bCs/>
                <w:sz w:val="24"/>
                <w:szCs w:val="24"/>
                <w:lang w:val="en-US"/>
              </w:rPr>
              <w:t>ÀNH</w:t>
            </w:r>
          </w:p>
        </w:tc>
        <w:tc>
          <w:tcPr>
            <w:tcW w:w="1774" w:type="pct"/>
            <w:shd w:val="clear" w:color="auto" w:fill="FFFFFF"/>
          </w:tcPr>
          <w:p w14:paraId="03929A0F" w14:textId="77777777" w:rsidR="00A207C3" w:rsidRPr="008E7E46" w:rsidRDefault="00A207C3" w:rsidP="00CE672A">
            <w:pPr>
              <w:autoSpaceDE w:val="0"/>
              <w:autoSpaceDN w:val="0"/>
              <w:adjustRightInd w:val="0"/>
              <w:spacing w:before="60" w:after="60"/>
              <w:ind w:left="1" w:right="98"/>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D</w:t>
            </w:r>
            <w:r w:rsidRPr="008E7E46">
              <w:rPr>
                <w:rFonts w:ascii="Times New Roman" w:hAnsi="Times New Roman" w:cs="Times New Roman"/>
                <w:b/>
                <w:bCs/>
                <w:sz w:val="24"/>
                <w:szCs w:val="24"/>
              </w:rPr>
              <w:t>Ự THẢO VĂN BẢN</w:t>
            </w:r>
          </w:p>
        </w:tc>
        <w:tc>
          <w:tcPr>
            <w:tcW w:w="1408" w:type="pct"/>
            <w:shd w:val="clear" w:color="auto" w:fill="FFFFFF"/>
          </w:tcPr>
          <w:p w14:paraId="2A2CEC1F" w14:textId="77777777" w:rsidR="00A207C3" w:rsidRPr="008E7E46" w:rsidRDefault="00A207C3" w:rsidP="00CE672A">
            <w:pPr>
              <w:autoSpaceDE w:val="0"/>
              <w:autoSpaceDN w:val="0"/>
              <w:adjustRightInd w:val="0"/>
              <w:spacing w:before="60" w:after="60"/>
              <w:ind w:left="140" w:right="143"/>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THUY</w:t>
            </w:r>
            <w:r w:rsidRPr="008E7E46">
              <w:rPr>
                <w:rFonts w:ascii="Times New Roman" w:hAnsi="Times New Roman" w:cs="Times New Roman"/>
                <w:b/>
                <w:bCs/>
                <w:sz w:val="24"/>
                <w:szCs w:val="24"/>
              </w:rPr>
              <w:t>ẾT MINH</w:t>
            </w:r>
          </w:p>
        </w:tc>
      </w:tr>
      <w:tr w:rsidR="008E2958" w:rsidRPr="004D1C5D" w14:paraId="371F0238" w14:textId="77777777" w:rsidTr="008E2958">
        <w:tc>
          <w:tcPr>
            <w:tcW w:w="1818" w:type="pct"/>
            <w:shd w:val="clear" w:color="auto" w:fill="FFFFFF"/>
          </w:tcPr>
          <w:p w14:paraId="1677C16F" w14:textId="77777777" w:rsidR="00A87980" w:rsidRPr="004D1C5D" w:rsidRDefault="00A87980" w:rsidP="00A87980">
            <w:pPr>
              <w:spacing w:before="60" w:after="60"/>
              <w:ind w:right="98"/>
              <w:jc w:val="both"/>
              <w:rPr>
                <w:rFonts w:ascii="Times New Roman" w:hAnsi="Times New Roman" w:cs="Times New Roman"/>
                <w:b/>
                <w:bCs/>
                <w:sz w:val="26"/>
                <w:szCs w:val="26"/>
                <w:lang w:val="en-US"/>
              </w:rPr>
            </w:pPr>
            <w:r w:rsidRPr="004D1C5D">
              <w:rPr>
                <w:rFonts w:ascii="Times New Roman" w:hAnsi="Times New Roman" w:cs="Times New Roman"/>
                <w:b/>
                <w:bCs/>
                <w:sz w:val="26"/>
                <w:szCs w:val="26"/>
                <w:lang w:val="en-US"/>
              </w:rPr>
              <w:t>Điều 1. Phạm vi điều chỉnh, đối tượng áp dụng</w:t>
            </w:r>
          </w:p>
          <w:p w14:paraId="0B44714E" w14:textId="77777777" w:rsidR="00A87980" w:rsidRPr="004D1C5D" w:rsidRDefault="00A87980" w:rsidP="00A87980">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a) Phạm vi điều chỉnh</w:t>
            </w:r>
          </w:p>
          <w:p w14:paraId="5BBB76BB" w14:textId="77777777" w:rsidR="00A87980" w:rsidRPr="004D1C5D" w:rsidRDefault="00A87980" w:rsidP="00A87980">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Quy định nội dung, mức chi cụ thể thực hiện công tác thăm dò, khai quật khảo cổ trên địa bàn thành phố Đồng Nai.</w:t>
            </w:r>
          </w:p>
          <w:p w14:paraId="41C6C305" w14:textId="77777777" w:rsidR="00A87980" w:rsidRPr="004D1C5D" w:rsidRDefault="00A87980" w:rsidP="00A87980">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b) Đối tượng áp dụng</w:t>
            </w:r>
          </w:p>
          <w:p w14:paraId="01345D8E" w14:textId="77777777" w:rsidR="00A87980" w:rsidRPr="004D1C5D" w:rsidRDefault="00A87980" w:rsidP="00A87980">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Cơ quan, đơn vị, tổ chức, cá nhân có liên quan đến công tác thăm dò, khai quật khảo cổ từ nguồn ngân sách nhà nước trên địa bàn thành phố Đồng Nai.</w:t>
            </w:r>
          </w:p>
          <w:p w14:paraId="6051F975" w14:textId="43263D52" w:rsidR="00A207C3" w:rsidRPr="004D1C5D" w:rsidRDefault="00A207C3" w:rsidP="00CE672A">
            <w:pPr>
              <w:spacing w:before="60" w:after="60"/>
              <w:ind w:left="143" w:right="98"/>
              <w:jc w:val="both"/>
              <w:rPr>
                <w:rFonts w:ascii="Times New Roman" w:hAnsi="Times New Roman" w:cs="Times New Roman"/>
                <w:sz w:val="26"/>
                <w:szCs w:val="26"/>
                <w:lang w:val="en-US"/>
              </w:rPr>
            </w:pPr>
          </w:p>
        </w:tc>
        <w:tc>
          <w:tcPr>
            <w:tcW w:w="1774" w:type="pct"/>
            <w:shd w:val="clear" w:color="auto" w:fill="FFFFFF"/>
          </w:tcPr>
          <w:p w14:paraId="0339A188" w14:textId="15439E6C" w:rsidR="000C5E16" w:rsidRPr="004D1C5D" w:rsidRDefault="000C5E16" w:rsidP="000C5E16">
            <w:pPr>
              <w:spacing w:before="60" w:after="60"/>
              <w:ind w:right="98"/>
              <w:jc w:val="both"/>
              <w:rPr>
                <w:rFonts w:ascii="Times New Roman" w:hAnsi="Times New Roman" w:cs="Times New Roman"/>
                <w:b/>
                <w:bCs/>
                <w:sz w:val="26"/>
                <w:szCs w:val="26"/>
                <w:lang w:val="en-US"/>
              </w:rPr>
            </w:pPr>
            <w:r w:rsidRPr="004D1C5D">
              <w:rPr>
                <w:rFonts w:ascii="Times New Roman" w:hAnsi="Times New Roman" w:cs="Times New Roman"/>
                <w:b/>
                <w:bCs/>
                <w:sz w:val="26"/>
                <w:szCs w:val="26"/>
                <w:lang w:val="en-US"/>
              </w:rPr>
              <w:t>Điều 1. Phạm vi điều chỉnh, đối tượng áp dụng</w:t>
            </w:r>
          </w:p>
          <w:p w14:paraId="54F68285" w14:textId="77777777" w:rsidR="000C5E16" w:rsidRPr="004D1C5D" w:rsidRDefault="000C5E16" w:rsidP="000C5E16">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a) Phạm vi điều chỉnh</w:t>
            </w:r>
          </w:p>
          <w:p w14:paraId="0FFA174A" w14:textId="77777777" w:rsidR="000C5E16" w:rsidRPr="004D1C5D" w:rsidRDefault="000C5E16" w:rsidP="000C5E16">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Quy định nội dung, mức chi cụ thể thực hiện công tác thăm dò, khai quật khảo cổ trên địa bàn thành phố Đồng Nai.</w:t>
            </w:r>
          </w:p>
          <w:p w14:paraId="085C3CBD" w14:textId="77777777" w:rsidR="000C5E16" w:rsidRPr="004D1C5D" w:rsidRDefault="000C5E16" w:rsidP="000C5E16">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b) Đối tượng áp dụng</w:t>
            </w:r>
          </w:p>
          <w:p w14:paraId="025B094E" w14:textId="5592E3BE" w:rsidR="000C5E16" w:rsidRPr="004D1C5D" w:rsidRDefault="000C5E16" w:rsidP="000C5E16">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Cơ quan, đơn vị, tổ chức, cá nhân có liên quan đến công tác thăm dò, khai quật khảo cổ từ nguồn ngân sách nhà nước trên địa bàn thành phố Đồng Nai.</w:t>
            </w:r>
          </w:p>
          <w:p w14:paraId="43DBEFB2" w14:textId="60590CA8" w:rsidR="00A207C3" w:rsidRPr="004D1C5D" w:rsidRDefault="00A207C3" w:rsidP="00CE672A">
            <w:pPr>
              <w:spacing w:before="60" w:after="60"/>
              <w:ind w:left="34" w:right="98"/>
              <w:jc w:val="both"/>
              <w:rPr>
                <w:rFonts w:ascii="Times New Roman" w:hAnsi="Times New Roman" w:cs="Times New Roman"/>
                <w:b/>
                <w:bCs/>
                <w:sz w:val="26"/>
                <w:szCs w:val="26"/>
              </w:rPr>
            </w:pPr>
          </w:p>
        </w:tc>
        <w:tc>
          <w:tcPr>
            <w:tcW w:w="1408" w:type="pct"/>
            <w:shd w:val="clear" w:color="auto" w:fill="FFFFFF"/>
          </w:tcPr>
          <w:p w14:paraId="1654DDE6" w14:textId="324DF324" w:rsidR="00AC7E2D" w:rsidRPr="004D1C5D" w:rsidRDefault="00A058E2" w:rsidP="009211EF">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 xml:space="preserve">Về phạm vi điều chỉnh, đối tượng áp dụng </w:t>
            </w:r>
            <w:r w:rsidR="00234423" w:rsidRPr="004D1C5D">
              <w:rPr>
                <w:rFonts w:ascii="Times New Roman" w:hAnsi="Times New Roman" w:cs="Times New Roman"/>
                <w:i/>
                <w:iCs/>
                <w:sz w:val="26"/>
                <w:szCs w:val="26"/>
                <w:lang w:val="en"/>
              </w:rPr>
              <w:t>k</w:t>
            </w:r>
            <w:r w:rsidR="00414650" w:rsidRPr="004D1C5D">
              <w:rPr>
                <w:rFonts w:ascii="Times New Roman" w:hAnsi="Times New Roman" w:cs="Times New Roman"/>
                <w:i/>
                <w:iCs/>
                <w:sz w:val="26"/>
                <w:szCs w:val="26"/>
                <w:lang w:val="en"/>
              </w:rPr>
              <w:t>ế thừa</w:t>
            </w:r>
            <w:r w:rsidR="00D0036D" w:rsidRPr="004D1C5D">
              <w:rPr>
                <w:rFonts w:ascii="Times New Roman" w:hAnsi="Times New Roman" w:cs="Times New Roman"/>
                <w:i/>
                <w:iCs/>
                <w:sz w:val="26"/>
                <w:szCs w:val="26"/>
                <w:lang w:val="en"/>
              </w:rPr>
              <w:t xml:space="preserve"> nội dung </w:t>
            </w:r>
            <w:r w:rsidR="00AC7E2D" w:rsidRPr="004D1C5D">
              <w:rPr>
                <w:rFonts w:ascii="Times New Roman" w:hAnsi="Times New Roman" w:cs="Times New Roman"/>
                <w:i/>
                <w:iCs/>
                <w:sz w:val="26"/>
                <w:szCs w:val="26"/>
                <w:lang w:val="en"/>
              </w:rPr>
              <w:t>phạm vi điều chỉnh, đối tượng áp dụng</w:t>
            </w:r>
            <w:r w:rsidR="001E5D77" w:rsidRPr="004D1C5D">
              <w:rPr>
                <w:rFonts w:ascii="Times New Roman" w:hAnsi="Times New Roman" w:cs="Times New Roman"/>
                <w:i/>
                <w:iCs/>
                <w:sz w:val="26"/>
                <w:szCs w:val="26"/>
                <w:lang w:val="en"/>
              </w:rPr>
              <w:t xml:space="preserve"> </w:t>
            </w:r>
            <w:r w:rsidR="004036E7" w:rsidRPr="004D1C5D">
              <w:rPr>
                <w:rFonts w:ascii="Times New Roman" w:hAnsi="Times New Roman" w:cs="Times New Roman"/>
                <w:i/>
                <w:iCs/>
                <w:sz w:val="26"/>
                <w:szCs w:val="26"/>
                <w:lang w:val="en"/>
              </w:rPr>
              <w:t xml:space="preserve">kế thừa nội dung của quy định cũ. </w:t>
            </w:r>
          </w:p>
          <w:p w14:paraId="4D79076F" w14:textId="6CF5F6B2" w:rsidR="00D0036D" w:rsidRPr="004D1C5D" w:rsidRDefault="004036E7" w:rsidP="009211EF">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 xml:space="preserve">Tuy nhiên, điều chỉnh </w:t>
            </w:r>
            <w:r w:rsidR="00416054" w:rsidRPr="004D1C5D">
              <w:rPr>
                <w:rFonts w:ascii="Times New Roman" w:hAnsi="Times New Roman" w:cs="Times New Roman"/>
                <w:i/>
                <w:iCs/>
                <w:sz w:val="26"/>
                <w:szCs w:val="26"/>
                <w:lang w:val="en"/>
              </w:rPr>
              <w:t xml:space="preserve">tên </w:t>
            </w:r>
            <w:r w:rsidRPr="004D1C5D">
              <w:rPr>
                <w:rFonts w:ascii="Times New Roman" w:hAnsi="Times New Roman" w:cs="Times New Roman"/>
                <w:i/>
                <w:iCs/>
                <w:sz w:val="26"/>
                <w:szCs w:val="26"/>
                <w:lang w:val="en"/>
              </w:rPr>
              <w:t xml:space="preserve">đơn vị hành chính từ “tỉnh Đồng Nai” thành “thành phố Đồng Nai” cho phù hợp </w:t>
            </w:r>
            <w:r w:rsidR="003D5F0F" w:rsidRPr="004D1C5D">
              <w:rPr>
                <w:rFonts w:ascii="Times New Roman" w:hAnsi="Times New Roman" w:cs="Times New Roman"/>
                <w:i/>
                <w:iCs/>
                <w:sz w:val="26"/>
                <w:szCs w:val="26"/>
                <w:lang w:val="en"/>
              </w:rPr>
              <w:t>tình hình thực tế theo Nghị quyết số 30/2026/</w:t>
            </w:r>
            <w:r w:rsidR="00A7616D" w:rsidRPr="004D1C5D">
              <w:rPr>
                <w:rFonts w:ascii="Times New Roman" w:hAnsi="Times New Roman" w:cs="Times New Roman"/>
                <w:i/>
                <w:iCs/>
                <w:sz w:val="26"/>
                <w:szCs w:val="26"/>
                <w:lang w:val="en"/>
              </w:rPr>
              <w:t>QH16 ngày 24/4/2026 của Quốc hội về việc thành lập thành phố Đồng Nai</w:t>
            </w:r>
            <w:r w:rsidR="00DD7857" w:rsidRPr="004D1C5D">
              <w:rPr>
                <w:rFonts w:ascii="Times New Roman" w:hAnsi="Times New Roman" w:cs="Times New Roman"/>
                <w:i/>
                <w:iCs/>
                <w:sz w:val="26"/>
                <w:szCs w:val="26"/>
                <w:lang w:val="en"/>
              </w:rPr>
              <w:t xml:space="preserve">. </w:t>
            </w:r>
          </w:p>
        </w:tc>
      </w:tr>
      <w:tr w:rsidR="0088068C" w:rsidRPr="004D1C5D" w14:paraId="15A98777" w14:textId="77777777" w:rsidTr="008E2958">
        <w:tc>
          <w:tcPr>
            <w:tcW w:w="1818" w:type="pct"/>
            <w:shd w:val="clear" w:color="auto" w:fill="FFFFFF"/>
          </w:tcPr>
          <w:p w14:paraId="2D7324E9"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z w:val="26"/>
                <w:szCs w:val="26"/>
                <w:lang w:val="en-US"/>
              </w:rPr>
              <w:t>Điều 2.</w:t>
            </w:r>
            <w:r w:rsidRPr="004D1C5D">
              <w:rPr>
                <w:rFonts w:ascii="Times New Roman" w:hAnsi="Times New Roman" w:cs="Times New Roman"/>
                <w:sz w:val="26"/>
                <w:szCs w:val="26"/>
                <w:lang w:val="en-US"/>
              </w:rPr>
              <w:t xml:space="preserve"> Mức chi </w:t>
            </w:r>
          </w:p>
          <w:p w14:paraId="355BD93C"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1. Chi thù lao cho cán bộ khoa học, kỹ thuật: 300.000 đồng/người/ngày.</w:t>
            </w:r>
          </w:p>
          <w:p w14:paraId="1FA99D6E"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lastRenderedPageBreak/>
              <w:t xml:space="preserve">2. Chi thù lao đối với chuyên gia tư vấn khoa học cho công tác thăm dò, khai quật khảo cổ: 650.000 đồng/ngày/người; </w:t>
            </w:r>
          </w:p>
          <w:p w14:paraId="49093524"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3. Chi thuê khoán nhân công phục vụ công tác điều tra, đào thăm dò, khai quật khảo cổ, phân loại chỉnh lý di vật; chi thuê khoán bảo vệ công trường và kho tạm 24/24h: 350.000 đồng/người/ngày.</w:t>
            </w:r>
          </w:p>
          <w:p w14:paraId="0148780E"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4. Mức chi viết báo cáo kết quả thăm dò, khai quật khảo cổ: </w:t>
            </w:r>
          </w:p>
          <w:p w14:paraId="5432599F"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a) Mức chi viết báo cáo sơ bộ: 4.000.000 đồng/báo cáo.</w:t>
            </w:r>
          </w:p>
          <w:p w14:paraId="2AA50CDE"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b) Mức chi viết báo cáo khoa học: 12.000.000 đồng/báo cáo. </w:t>
            </w:r>
          </w:p>
          <w:p w14:paraId="18EB795E"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5. Mức chi cho công tác lập hồ sơ khoa học: </w:t>
            </w:r>
          </w:p>
          <w:p w14:paraId="1C9BC106"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a) Chi dập hoa văn và văn bia: 100.000 đồng/bản (khổ A4), 150.000 đồng/bản (khổ A3), 250.000 dồng/bản (khổ A2), 450.000 đồng/bản (khổ A0). </w:t>
            </w:r>
          </w:p>
          <w:p w14:paraId="1E48CDA9"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b) Chi chụp ảnh chụp di tích và di vật: 25.000 đồng/ảnh (bao gồm công chụp, chỉnh sửa và chi phí làm ảnh cỡ 9x12). </w:t>
            </w:r>
          </w:p>
          <w:p w14:paraId="6A0694FF"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c) Phiếu đăng ký hiện vật (mô tả đặc trưng, niên đại, nguồn gốc và tính chất hiện vật): 30.000 đồng/phiếu.</w:t>
            </w:r>
          </w:p>
          <w:p w14:paraId="1F1252F2" w14:textId="198EFB37" w:rsidR="0088068C" w:rsidRPr="004D1C5D" w:rsidRDefault="0088068C" w:rsidP="00EE1390">
            <w:pPr>
              <w:spacing w:before="60" w:after="60"/>
              <w:ind w:right="98"/>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6. Đối với các nội dung khác liên quan không quy định tại Nghị quyết này thì thực hiện theo </w:t>
            </w:r>
            <w:r w:rsidRPr="004D1C5D">
              <w:rPr>
                <w:rFonts w:ascii="Times New Roman" w:hAnsi="Times New Roman" w:cs="Times New Roman"/>
                <w:sz w:val="26"/>
                <w:szCs w:val="26"/>
                <w:lang w:val="en-US"/>
              </w:rPr>
              <w:lastRenderedPageBreak/>
              <w:t>Thông tư số 67/2019/TT-BTC ngày 23/9/2019 của Bộ Tài chính quy định nội dung và mức chi thực hiện công tác thăm dò, khai quật khảo cổ từ nguồn ngân sách nhà nước và các quy định hiện hành.</w:t>
            </w:r>
          </w:p>
        </w:tc>
        <w:tc>
          <w:tcPr>
            <w:tcW w:w="1774" w:type="pct"/>
            <w:shd w:val="clear" w:color="auto" w:fill="FFFFFF"/>
          </w:tcPr>
          <w:p w14:paraId="6C7248AF"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z w:val="26"/>
                <w:szCs w:val="26"/>
                <w:lang w:val="en-US"/>
              </w:rPr>
              <w:lastRenderedPageBreak/>
              <w:t>Điều 2.</w:t>
            </w:r>
            <w:r w:rsidRPr="004D1C5D">
              <w:rPr>
                <w:rFonts w:ascii="Times New Roman" w:hAnsi="Times New Roman" w:cs="Times New Roman"/>
                <w:sz w:val="26"/>
                <w:szCs w:val="26"/>
                <w:lang w:val="en-US"/>
              </w:rPr>
              <w:t xml:space="preserve"> Mức chi </w:t>
            </w:r>
          </w:p>
          <w:p w14:paraId="775B5EC7"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1. Chi thù lao cho cán bộ khoa học, kỹ thuật: 300.000 đồng/người/ngày.</w:t>
            </w:r>
          </w:p>
          <w:p w14:paraId="074FE637"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lastRenderedPageBreak/>
              <w:t xml:space="preserve">2. Chi thù lao đối với chuyên gia tư vấn khoa học cho công tác thăm dò, khai quật khảo cổ: 650.000 đồng/ngày/người; </w:t>
            </w:r>
          </w:p>
          <w:p w14:paraId="1F3F9171"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3. Chi thuê khoán nhân công phục vụ công tác điều tra, đào thăm dò, khai quật khảo cổ, phân loại chỉnh lý di vật; chi thuê khoán bảo vệ công trường và kho tạm 24/24h: 350.000 đồng/người/ngày.</w:t>
            </w:r>
          </w:p>
          <w:p w14:paraId="64BB5E23"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4. Mức chi viết báo cáo kết quả thăm dò, khai quật khảo cổ: </w:t>
            </w:r>
          </w:p>
          <w:p w14:paraId="03174680"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a) Mức chi viết báo cáo sơ bộ: 4.000.000 đồng/báo cáo.</w:t>
            </w:r>
          </w:p>
          <w:p w14:paraId="2EF8518D"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b) Mức chi viết báo cáo khoa học: 12.000.000 đồng/báo cáo. </w:t>
            </w:r>
          </w:p>
          <w:p w14:paraId="075D58C8"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5. Mức chi cho công tác lập hồ sơ khoa học: </w:t>
            </w:r>
          </w:p>
          <w:p w14:paraId="2323B0DF" w14:textId="7F58BA3A"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a) Chi dập hoa văn và văn bia: 100.000 đồng/bản (khổ A4), 150.000 đồng/bản (khổ A3), 250.000 dồng/bản (khổ A2), 450.000 đồng/bản (khổ A0). </w:t>
            </w:r>
          </w:p>
          <w:p w14:paraId="2B45280A"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b) Chi chụp ảnh chụp di tích và di vật: 25.000 đồng/ảnh (bao gồm công chụp, chỉnh sửa và chi phí làm ảnh cỡ 9x12). </w:t>
            </w:r>
          </w:p>
          <w:p w14:paraId="171DD6FC" w14:textId="77777777"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c) Phiếu đăng ký hiện vật (mô tả đặc trưng, niên đại, nguồn gốc và tính chất hiện vật): 30.000 đồng/phiếu.</w:t>
            </w:r>
          </w:p>
          <w:p w14:paraId="1D04D27A" w14:textId="7A17FCBF" w:rsidR="0088068C" w:rsidRPr="004D1C5D" w:rsidRDefault="0088068C"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lastRenderedPageBreak/>
              <w:t>6. Đối với các nội dung khác liên quan không quy định tại Nghị quyết này thì thực hiện theo Thông tư số 67/2019/TT-BTC ngày 23/9/2019 của Bộ Tài chính quy định nội dung và mức chi thực hiện công tác thăm dò, khai quật khảo cổ từ nguồn ngân sách nhà nước và các quy định hiện hành.</w:t>
            </w:r>
          </w:p>
        </w:tc>
        <w:tc>
          <w:tcPr>
            <w:tcW w:w="1408" w:type="pct"/>
            <w:shd w:val="clear" w:color="auto" w:fill="FFFFFF"/>
          </w:tcPr>
          <w:p w14:paraId="7AEB6099" w14:textId="77777777" w:rsidR="009758A4" w:rsidRPr="004D1C5D" w:rsidRDefault="004B7EBC" w:rsidP="009758A4">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lastRenderedPageBreak/>
              <w:t>Về mức chi kế thừa mức chi của quy định cũ.</w:t>
            </w:r>
          </w:p>
          <w:p w14:paraId="1517CA41" w14:textId="3FA01250" w:rsidR="009758A4" w:rsidRPr="004D1C5D" w:rsidRDefault="00373E92" w:rsidP="009758A4">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 xml:space="preserve">Nội dung quy định mức </w:t>
            </w:r>
            <w:r w:rsidR="00EF6B1F" w:rsidRPr="004D1C5D">
              <w:rPr>
                <w:rFonts w:ascii="Times New Roman" w:hAnsi="Times New Roman" w:cs="Times New Roman"/>
                <w:i/>
                <w:iCs/>
                <w:sz w:val="26"/>
                <w:szCs w:val="26"/>
                <w:lang w:val="en"/>
              </w:rPr>
              <w:t>chi theo</w:t>
            </w:r>
            <w:r w:rsidR="00EF6B1F" w:rsidRPr="004D1C5D">
              <w:rPr>
                <w:rFonts w:ascii="Times New Roman" w:hAnsi="Times New Roman" w:cs="Times New Roman"/>
                <w:sz w:val="26"/>
                <w:szCs w:val="26"/>
                <w:lang w:val="en-US"/>
              </w:rPr>
              <w:t xml:space="preserve"> </w:t>
            </w:r>
            <w:r w:rsidR="00EF6B1F" w:rsidRPr="004D1C5D">
              <w:rPr>
                <w:rFonts w:ascii="Times New Roman" w:hAnsi="Times New Roman" w:cs="Times New Roman"/>
                <w:sz w:val="26"/>
                <w:szCs w:val="26"/>
                <w:lang w:val="en-US"/>
              </w:rPr>
              <w:t>Thông tư số 67/2019/TT-BTC</w:t>
            </w:r>
            <w:r w:rsidR="00EF6B1F" w:rsidRPr="004D1C5D">
              <w:rPr>
                <w:rFonts w:ascii="Times New Roman" w:hAnsi="Times New Roman" w:cs="Times New Roman"/>
                <w:i/>
                <w:iCs/>
                <w:sz w:val="26"/>
                <w:szCs w:val="26"/>
                <w:lang w:val="en"/>
              </w:rPr>
              <w:t xml:space="preserve"> ngày 23/9/2019 của Bộ trưởng Bộ Tài </w:t>
            </w:r>
            <w:r w:rsidR="00EF6B1F" w:rsidRPr="004D1C5D">
              <w:rPr>
                <w:rFonts w:ascii="Times New Roman" w:hAnsi="Times New Roman" w:cs="Times New Roman"/>
                <w:i/>
                <w:iCs/>
                <w:sz w:val="26"/>
                <w:szCs w:val="26"/>
                <w:lang w:val="en"/>
              </w:rPr>
              <w:lastRenderedPageBreak/>
              <w:t>chính quy định nội dung và mức chi thực hiện công tác thăm dò, khai quật khảo cổ từ nguồn ngân sách nhà nước.</w:t>
            </w:r>
          </w:p>
          <w:p w14:paraId="0DA4B30D" w14:textId="6944F27E" w:rsidR="00373E92" w:rsidRPr="004D1C5D" w:rsidRDefault="00373E92" w:rsidP="009758A4">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Đối với từng nhiệm vụ được quy định cụ thể mức tối đa, cơ quan, đơn vị có thẩm quyền tự đảm bảo thanh, quyết toán không vượt quá các mức chi cho từng nhóm nhiệm vụ.</w:t>
            </w:r>
          </w:p>
          <w:p w14:paraId="5D0B4D83" w14:textId="4CB6EA77" w:rsidR="00373E92" w:rsidRPr="004D1C5D" w:rsidRDefault="00373E92" w:rsidP="00373E92">
            <w:pPr>
              <w:autoSpaceDE w:val="0"/>
              <w:autoSpaceDN w:val="0"/>
              <w:adjustRightInd w:val="0"/>
              <w:spacing w:before="60" w:after="60"/>
              <w:ind w:right="143"/>
              <w:jc w:val="both"/>
              <w:rPr>
                <w:rFonts w:ascii="Times New Roman" w:hAnsi="Times New Roman" w:cs="Times New Roman"/>
                <w:i/>
                <w:iCs/>
                <w:sz w:val="26"/>
                <w:szCs w:val="26"/>
                <w:lang w:val="en"/>
              </w:rPr>
            </w:pPr>
          </w:p>
        </w:tc>
      </w:tr>
      <w:tr w:rsidR="007750E7" w:rsidRPr="004D1C5D" w14:paraId="30B848BA" w14:textId="77777777" w:rsidTr="008E2958">
        <w:tc>
          <w:tcPr>
            <w:tcW w:w="1818" w:type="pct"/>
            <w:shd w:val="clear" w:color="auto" w:fill="FFFFFF"/>
          </w:tcPr>
          <w:p w14:paraId="492B4EE5" w14:textId="77777777" w:rsidR="00BF3E75" w:rsidRPr="004D1C5D" w:rsidRDefault="00BF3E75" w:rsidP="00BF3E75">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z w:val="26"/>
                <w:szCs w:val="26"/>
                <w:lang w:val="en-US"/>
              </w:rPr>
              <w:lastRenderedPageBreak/>
              <w:t>Điều 3.</w:t>
            </w:r>
            <w:r w:rsidRPr="004D1C5D">
              <w:rPr>
                <w:rFonts w:ascii="Times New Roman" w:hAnsi="Times New Roman" w:cs="Times New Roman"/>
                <w:sz w:val="26"/>
                <w:szCs w:val="26"/>
                <w:lang w:val="en-US"/>
              </w:rPr>
              <w:t xml:space="preserve"> Kinh phí thực hiện</w:t>
            </w:r>
          </w:p>
          <w:p w14:paraId="49780801" w14:textId="1D7E93EA" w:rsidR="007750E7" w:rsidRPr="004D1C5D" w:rsidRDefault="00BF3E75" w:rsidP="00BF3E75">
            <w:pPr>
              <w:spacing w:before="60" w:after="60" w:line="340" w:lineRule="exact"/>
              <w:jc w:val="both"/>
              <w:rPr>
                <w:rFonts w:ascii="Times New Roman" w:hAnsi="Times New Roman" w:cs="Times New Roman"/>
                <w:b/>
                <w:sz w:val="26"/>
                <w:szCs w:val="26"/>
                <w:lang w:val="en-US"/>
              </w:rPr>
            </w:pPr>
            <w:r w:rsidRPr="004D1C5D">
              <w:rPr>
                <w:rFonts w:ascii="Times New Roman" w:hAnsi="Times New Roman" w:cs="Times New Roman"/>
                <w:sz w:val="26"/>
                <w:szCs w:val="26"/>
                <w:lang w:val="en-US"/>
              </w:rPr>
              <w:t>Từ nguồn ngân sách Nhà nước theo phân cấp quản lý ngân sách hiện hành.</w:t>
            </w:r>
          </w:p>
        </w:tc>
        <w:tc>
          <w:tcPr>
            <w:tcW w:w="1774" w:type="pct"/>
            <w:shd w:val="clear" w:color="auto" w:fill="FFFFFF"/>
          </w:tcPr>
          <w:p w14:paraId="2CB2B26B" w14:textId="77777777" w:rsidR="002E1D7D" w:rsidRPr="004D1C5D" w:rsidRDefault="002E1D7D" w:rsidP="002E1D7D">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z w:val="26"/>
                <w:szCs w:val="26"/>
                <w:lang w:val="en-US"/>
              </w:rPr>
              <w:t>Điều 3.</w:t>
            </w:r>
            <w:r w:rsidRPr="004D1C5D">
              <w:rPr>
                <w:rFonts w:ascii="Times New Roman" w:hAnsi="Times New Roman" w:cs="Times New Roman"/>
                <w:sz w:val="26"/>
                <w:szCs w:val="26"/>
                <w:lang w:val="en-US"/>
              </w:rPr>
              <w:t xml:space="preserve"> Kinh phí thực hiện</w:t>
            </w:r>
          </w:p>
          <w:p w14:paraId="1CD7DB2B" w14:textId="678E642E" w:rsidR="002E1D7D" w:rsidRPr="004D1C5D" w:rsidRDefault="002E1D7D" w:rsidP="0088068C">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sz w:val="26"/>
                <w:szCs w:val="26"/>
                <w:lang w:val="en-US"/>
              </w:rPr>
              <w:t xml:space="preserve">Từ nguồn ngân sách </w:t>
            </w:r>
            <w:r w:rsidR="00BF3E75" w:rsidRPr="004D1C5D">
              <w:rPr>
                <w:rFonts w:ascii="Times New Roman" w:hAnsi="Times New Roman" w:cs="Times New Roman"/>
                <w:sz w:val="26"/>
                <w:szCs w:val="26"/>
                <w:lang w:val="en-US"/>
              </w:rPr>
              <w:t xml:space="preserve">Nhà </w:t>
            </w:r>
            <w:r w:rsidRPr="004D1C5D">
              <w:rPr>
                <w:rFonts w:ascii="Times New Roman" w:hAnsi="Times New Roman" w:cs="Times New Roman"/>
                <w:sz w:val="26"/>
                <w:szCs w:val="26"/>
                <w:lang w:val="en-US"/>
              </w:rPr>
              <w:t>nước theo phân cấp quản lý ngân sách hiện hành</w:t>
            </w:r>
            <w:r w:rsidRPr="004D1C5D">
              <w:rPr>
                <w:rFonts w:ascii="Times New Roman" w:hAnsi="Times New Roman" w:cs="Times New Roman"/>
                <w:sz w:val="26"/>
                <w:szCs w:val="26"/>
                <w:lang w:val="en-US"/>
              </w:rPr>
              <w:t>.</w:t>
            </w:r>
          </w:p>
        </w:tc>
        <w:tc>
          <w:tcPr>
            <w:tcW w:w="1408" w:type="pct"/>
            <w:shd w:val="clear" w:color="auto" w:fill="FFFFFF"/>
          </w:tcPr>
          <w:p w14:paraId="4DCC4F45" w14:textId="63C7C015" w:rsidR="0089454C" w:rsidRPr="004D1C5D" w:rsidRDefault="0089454C" w:rsidP="0089454C">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 xml:space="preserve">Về </w:t>
            </w:r>
            <w:r w:rsidRPr="004D1C5D">
              <w:rPr>
                <w:rFonts w:ascii="Times New Roman" w:hAnsi="Times New Roman" w:cs="Times New Roman"/>
                <w:i/>
                <w:iCs/>
                <w:sz w:val="26"/>
                <w:szCs w:val="26"/>
                <w:lang w:val="en"/>
              </w:rPr>
              <w:t>kinh phí thực hiện</w:t>
            </w:r>
            <w:r w:rsidRPr="004D1C5D">
              <w:rPr>
                <w:rFonts w:ascii="Times New Roman" w:hAnsi="Times New Roman" w:cs="Times New Roman"/>
                <w:i/>
                <w:iCs/>
                <w:sz w:val="26"/>
                <w:szCs w:val="26"/>
                <w:lang w:val="en"/>
              </w:rPr>
              <w:t xml:space="preserve"> kế thừa mức chi của quy định cũ.</w:t>
            </w:r>
          </w:p>
          <w:p w14:paraId="1FFFBB11" w14:textId="77777777" w:rsidR="007750E7" w:rsidRPr="004D1C5D" w:rsidRDefault="007750E7" w:rsidP="00D57F5E">
            <w:pPr>
              <w:autoSpaceDE w:val="0"/>
              <w:autoSpaceDN w:val="0"/>
              <w:adjustRightInd w:val="0"/>
              <w:spacing w:before="60" w:after="60"/>
              <w:ind w:right="143"/>
              <w:jc w:val="both"/>
              <w:rPr>
                <w:rFonts w:ascii="Times New Roman" w:hAnsi="Times New Roman" w:cs="Times New Roman"/>
                <w:sz w:val="26"/>
                <w:szCs w:val="26"/>
                <w:lang w:val="en"/>
              </w:rPr>
            </w:pPr>
          </w:p>
        </w:tc>
      </w:tr>
      <w:tr w:rsidR="007750E7" w:rsidRPr="004D1C5D" w14:paraId="3987053D" w14:textId="77777777" w:rsidTr="008E2958">
        <w:tc>
          <w:tcPr>
            <w:tcW w:w="1818" w:type="pct"/>
            <w:shd w:val="clear" w:color="auto" w:fill="FFFFFF"/>
          </w:tcPr>
          <w:p w14:paraId="78936916" w14:textId="46AB86FD" w:rsidR="00D33025" w:rsidRPr="004D1C5D" w:rsidRDefault="00D33025" w:rsidP="00D33025">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pacing w:val="-4"/>
                <w:sz w:val="26"/>
                <w:szCs w:val="26"/>
                <w:lang w:val="en-US" w:eastAsia="ar-SA"/>
              </w:rPr>
              <w:t xml:space="preserve">Điều 4. </w:t>
            </w:r>
            <w:r w:rsidRPr="004D1C5D">
              <w:rPr>
                <w:rFonts w:ascii="Times New Roman" w:hAnsi="Times New Roman" w:cs="Times New Roman"/>
                <w:spacing w:val="-4"/>
                <w:sz w:val="26"/>
                <w:szCs w:val="26"/>
                <w:lang w:val="en-US" w:eastAsia="ar-SA"/>
              </w:rPr>
              <w:t>Tổ chức thực hiện</w:t>
            </w:r>
          </w:p>
          <w:p w14:paraId="49182C2A" w14:textId="60336549" w:rsidR="00D33025" w:rsidRPr="004D1C5D" w:rsidRDefault="00D33025" w:rsidP="00D33025">
            <w:pPr>
              <w:suppressAutoHyphens/>
              <w:spacing w:before="60" w:after="60" w:line="340" w:lineRule="exact"/>
              <w:ind w:right="51"/>
              <w:jc w:val="both"/>
              <w:rPr>
                <w:rFonts w:ascii="Times New Roman" w:hAnsi="Times New Roman" w:cs="Times New Roman"/>
                <w:sz w:val="26"/>
                <w:szCs w:val="26"/>
                <w:lang w:val="en-US" w:eastAsia="ar-SA"/>
              </w:rPr>
            </w:pPr>
            <w:r w:rsidRPr="004D1C5D">
              <w:rPr>
                <w:rFonts w:ascii="Times New Roman" w:hAnsi="Times New Roman" w:cs="Times New Roman"/>
                <w:sz w:val="26"/>
                <w:szCs w:val="26"/>
                <w:lang w:val="en-US" w:eastAsia="ar-SA"/>
              </w:rPr>
              <w:t xml:space="preserve">1. Ủy ban nhân dân </w:t>
            </w:r>
            <w:r w:rsidR="00F55771" w:rsidRPr="004D1C5D">
              <w:rPr>
                <w:rFonts w:ascii="Times New Roman" w:hAnsi="Times New Roman" w:cs="Times New Roman"/>
                <w:sz w:val="26"/>
                <w:szCs w:val="26"/>
                <w:lang w:val="en-US" w:eastAsia="ar-SA"/>
              </w:rPr>
              <w:t>tỉnh</w:t>
            </w:r>
            <w:r w:rsidRPr="004D1C5D">
              <w:rPr>
                <w:rFonts w:ascii="Times New Roman" w:hAnsi="Times New Roman" w:cs="Times New Roman"/>
                <w:sz w:val="26"/>
                <w:szCs w:val="26"/>
                <w:lang w:val="en-US" w:eastAsia="ar-SA"/>
              </w:rPr>
              <w:t xml:space="preserve"> có trách nhiệm </w:t>
            </w:r>
            <w:r w:rsidRPr="004D1C5D">
              <w:rPr>
                <w:rFonts w:ascii="Times New Roman" w:hAnsi="Times New Roman" w:cs="Times New Roman"/>
                <w:sz w:val="26"/>
                <w:szCs w:val="26"/>
                <w:lang w:val="nl-NL" w:eastAsia="ar-SA"/>
              </w:rPr>
              <w:t xml:space="preserve">tổ chức triển khai, thực hiện Nghị quyết này và báo cáo kết quả thực hiện cho Hội đồng nhân dân </w:t>
            </w:r>
            <w:r w:rsidR="00F55771" w:rsidRPr="004D1C5D">
              <w:rPr>
                <w:rFonts w:ascii="Times New Roman" w:hAnsi="Times New Roman" w:cs="Times New Roman"/>
                <w:sz w:val="26"/>
                <w:szCs w:val="26"/>
                <w:lang w:val="nl-NL" w:eastAsia="ar-SA"/>
              </w:rPr>
              <w:t>tỉnh</w:t>
            </w:r>
            <w:r w:rsidRPr="004D1C5D">
              <w:rPr>
                <w:rFonts w:ascii="Times New Roman" w:hAnsi="Times New Roman" w:cs="Times New Roman"/>
                <w:sz w:val="26"/>
                <w:szCs w:val="26"/>
                <w:lang w:val="nl-NL" w:eastAsia="ar-SA"/>
              </w:rPr>
              <w:t xml:space="preserve"> theo quy định</w:t>
            </w:r>
            <w:r w:rsidRPr="004D1C5D">
              <w:rPr>
                <w:rFonts w:ascii="Times New Roman" w:hAnsi="Times New Roman" w:cs="Times New Roman"/>
                <w:sz w:val="26"/>
                <w:szCs w:val="26"/>
                <w:lang w:val="en-US" w:eastAsia="ar-SA"/>
              </w:rPr>
              <w:t>.</w:t>
            </w:r>
          </w:p>
          <w:p w14:paraId="3F632119" w14:textId="321E8EA7" w:rsidR="00D33025" w:rsidRPr="004D1C5D" w:rsidRDefault="00D33025" w:rsidP="00D33025">
            <w:pPr>
              <w:suppressAutoHyphens/>
              <w:spacing w:before="60" w:after="60" w:line="340" w:lineRule="exact"/>
              <w:ind w:right="51"/>
              <w:jc w:val="both"/>
              <w:rPr>
                <w:rFonts w:ascii="Times New Roman" w:hAnsi="Times New Roman" w:cs="Times New Roman"/>
                <w:sz w:val="26"/>
                <w:szCs w:val="26"/>
                <w:lang w:val="en-US" w:eastAsia="ar-SA"/>
              </w:rPr>
            </w:pPr>
            <w:r w:rsidRPr="004D1C5D">
              <w:rPr>
                <w:rFonts w:ascii="Times New Roman" w:hAnsi="Times New Roman" w:cs="Times New Roman"/>
                <w:bCs/>
                <w:sz w:val="26"/>
                <w:szCs w:val="26"/>
                <w:lang w:val="en-US" w:eastAsia="ar-SA"/>
              </w:rPr>
              <w:t>2.</w:t>
            </w:r>
            <w:r w:rsidRPr="004D1C5D">
              <w:rPr>
                <w:rFonts w:ascii="Times New Roman" w:hAnsi="Times New Roman" w:cs="Times New Roman"/>
                <w:sz w:val="26"/>
                <w:szCs w:val="26"/>
                <w:lang w:val="en-US" w:eastAsia="ar-SA"/>
              </w:rPr>
              <w:t xml:space="preserve"> Thường trực Hội đồng nhân dân, các Ban Hội đồng nhân dân, các Tổ đại biểu Hội đồng nhân dân và các đại biểu Hội đồng nhân dân </w:t>
            </w:r>
            <w:r w:rsidR="00F55771" w:rsidRPr="004D1C5D">
              <w:rPr>
                <w:rFonts w:ascii="Times New Roman" w:hAnsi="Times New Roman" w:cs="Times New Roman"/>
                <w:sz w:val="26"/>
                <w:szCs w:val="26"/>
                <w:lang w:val="en-US" w:eastAsia="ar-SA"/>
              </w:rPr>
              <w:t>tỉnh</w:t>
            </w:r>
            <w:r w:rsidRPr="004D1C5D">
              <w:rPr>
                <w:rFonts w:ascii="Times New Roman" w:hAnsi="Times New Roman" w:cs="Times New Roman"/>
                <w:sz w:val="26"/>
                <w:szCs w:val="26"/>
                <w:lang w:val="en-US" w:eastAsia="ar-SA"/>
              </w:rPr>
              <w:t xml:space="preserve"> giám sát việc thực hiện Nghị quyết này.</w:t>
            </w:r>
          </w:p>
          <w:p w14:paraId="547C5A72" w14:textId="5C670E69" w:rsidR="007750E7" w:rsidRPr="004D1C5D" w:rsidRDefault="00D33025" w:rsidP="00D33025">
            <w:pPr>
              <w:spacing w:before="60" w:after="60" w:line="340" w:lineRule="exact"/>
              <w:jc w:val="both"/>
              <w:rPr>
                <w:rFonts w:ascii="Times New Roman" w:hAnsi="Times New Roman" w:cs="Times New Roman"/>
                <w:b/>
                <w:sz w:val="26"/>
                <w:szCs w:val="26"/>
                <w:lang w:val="en-US"/>
              </w:rPr>
            </w:pPr>
            <w:r w:rsidRPr="004D1C5D">
              <w:rPr>
                <w:rFonts w:ascii="Times New Roman" w:eastAsia="Calibri" w:hAnsi="Times New Roman" w:cs="Times New Roman"/>
                <w:color w:val="000000"/>
                <w:sz w:val="26"/>
                <w:szCs w:val="26"/>
                <w:shd w:val="clear" w:color="auto" w:fill="FFFFFF"/>
                <w:lang w:val="en-US"/>
              </w:rPr>
              <w:t>3. Đề nghị Ủy ban Mặt trận Tổ quốc Việt Nam t</w:t>
            </w:r>
            <w:r w:rsidR="001C2C2A" w:rsidRPr="004D1C5D">
              <w:rPr>
                <w:rFonts w:ascii="Times New Roman" w:eastAsia="Calibri" w:hAnsi="Times New Roman" w:cs="Times New Roman"/>
                <w:color w:val="000000"/>
                <w:sz w:val="26"/>
                <w:szCs w:val="26"/>
                <w:shd w:val="clear" w:color="auto" w:fill="FFFFFF"/>
                <w:lang w:val="en-US"/>
              </w:rPr>
              <w:t>ỉnh</w:t>
            </w:r>
            <w:r w:rsidRPr="004D1C5D">
              <w:rPr>
                <w:rFonts w:ascii="Times New Roman" w:eastAsia="Calibri" w:hAnsi="Times New Roman" w:cs="Times New Roman"/>
                <w:color w:val="000000"/>
                <w:sz w:val="26"/>
                <w:szCs w:val="26"/>
                <w:shd w:val="clear" w:color="auto" w:fill="FFFFFF"/>
                <w:lang w:val="en-US"/>
              </w:rPr>
              <w:t>, các tổ chức thành viên giám sát và vận động Nhân dân cùng tham gia giám sát việc thực hiện Nghị quyết này;</w:t>
            </w:r>
            <w:r w:rsidR="001C2C2A" w:rsidRPr="004D1C5D">
              <w:rPr>
                <w:rFonts w:ascii="Times New Roman" w:eastAsia="Calibri" w:hAnsi="Times New Roman" w:cs="Times New Roman"/>
                <w:color w:val="000000"/>
                <w:sz w:val="26"/>
                <w:szCs w:val="26"/>
                <w:shd w:val="clear" w:color="auto" w:fill="FFFFFF"/>
                <w:lang w:val="en-US"/>
              </w:rPr>
              <w:t xml:space="preserve"> </w:t>
            </w:r>
            <w:r w:rsidRPr="004D1C5D">
              <w:rPr>
                <w:rFonts w:ascii="Times New Roman" w:eastAsia="Calibri" w:hAnsi="Times New Roman" w:cs="Times New Roman"/>
                <w:color w:val="000000"/>
                <w:sz w:val="26"/>
                <w:szCs w:val="26"/>
                <w:shd w:val="clear" w:color="auto" w:fill="FFFFFF"/>
                <w:lang w:val="en-US"/>
              </w:rPr>
              <w:t xml:space="preserve">kịp thời </w:t>
            </w:r>
            <w:r w:rsidR="001C2C2A" w:rsidRPr="004D1C5D">
              <w:rPr>
                <w:rFonts w:ascii="Times New Roman" w:eastAsia="Calibri" w:hAnsi="Times New Roman" w:cs="Times New Roman"/>
                <w:color w:val="000000"/>
                <w:sz w:val="26"/>
                <w:szCs w:val="26"/>
                <w:shd w:val="clear" w:color="auto" w:fill="FFFFFF"/>
                <w:lang w:val="en-US"/>
              </w:rPr>
              <w:t xml:space="preserve">phản ánh </w:t>
            </w:r>
            <w:r w:rsidRPr="004D1C5D">
              <w:rPr>
                <w:rFonts w:ascii="Times New Roman" w:eastAsia="Calibri" w:hAnsi="Times New Roman" w:cs="Times New Roman"/>
                <w:color w:val="000000"/>
                <w:sz w:val="26"/>
                <w:szCs w:val="26"/>
                <w:shd w:val="clear" w:color="auto" w:fill="FFFFFF"/>
                <w:lang w:val="en-US"/>
              </w:rPr>
              <w:t>tâm tư, nguyện vọng và kiến nghị của Nhân dân đến các cơ quan có thẩm quyền theo quy định của pháp luật</w:t>
            </w:r>
            <w:r w:rsidR="001C2C2A" w:rsidRPr="004D1C5D">
              <w:rPr>
                <w:rFonts w:ascii="Times New Roman" w:eastAsia="Calibri" w:hAnsi="Times New Roman" w:cs="Times New Roman"/>
                <w:color w:val="000000"/>
                <w:sz w:val="26"/>
                <w:szCs w:val="26"/>
                <w:shd w:val="clear" w:color="auto" w:fill="FFFFFF"/>
                <w:lang w:val="en-US"/>
              </w:rPr>
              <w:t>.</w:t>
            </w:r>
          </w:p>
        </w:tc>
        <w:tc>
          <w:tcPr>
            <w:tcW w:w="1774" w:type="pct"/>
            <w:shd w:val="clear" w:color="auto" w:fill="FFFFFF"/>
          </w:tcPr>
          <w:p w14:paraId="637A477B" w14:textId="77777777" w:rsidR="00D33025" w:rsidRPr="004D1C5D" w:rsidRDefault="00D33025" w:rsidP="00D33025">
            <w:pPr>
              <w:spacing w:before="60" w:after="60" w:line="340" w:lineRule="exact"/>
              <w:jc w:val="both"/>
              <w:rPr>
                <w:rFonts w:ascii="Times New Roman" w:hAnsi="Times New Roman" w:cs="Times New Roman"/>
                <w:sz w:val="26"/>
                <w:szCs w:val="26"/>
                <w:lang w:val="en-US"/>
              </w:rPr>
            </w:pPr>
            <w:r w:rsidRPr="004D1C5D">
              <w:rPr>
                <w:rFonts w:ascii="Times New Roman" w:hAnsi="Times New Roman" w:cs="Times New Roman"/>
                <w:b/>
                <w:spacing w:val="-4"/>
                <w:sz w:val="26"/>
                <w:szCs w:val="26"/>
                <w:lang w:val="en-US" w:eastAsia="ar-SA"/>
              </w:rPr>
              <w:t xml:space="preserve">Điều 4. </w:t>
            </w:r>
            <w:r w:rsidRPr="004D1C5D">
              <w:rPr>
                <w:rFonts w:ascii="Times New Roman" w:hAnsi="Times New Roman" w:cs="Times New Roman"/>
                <w:spacing w:val="-4"/>
                <w:sz w:val="26"/>
                <w:szCs w:val="26"/>
                <w:lang w:val="en-US" w:eastAsia="ar-SA"/>
              </w:rPr>
              <w:t>Tổ chức thực hiện</w:t>
            </w:r>
          </w:p>
          <w:p w14:paraId="6515304B" w14:textId="77777777" w:rsidR="00D33025" w:rsidRPr="004D1C5D" w:rsidRDefault="00D33025" w:rsidP="00D33025">
            <w:pPr>
              <w:suppressAutoHyphens/>
              <w:spacing w:before="60" w:after="60" w:line="340" w:lineRule="exact"/>
              <w:ind w:right="51"/>
              <w:jc w:val="both"/>
              <w:rPr>
                <w:rFonts w:ascii="Times New Roman" w:hAnsi="Times New Roman" w:cs="Times New Roman"/>
                <w:sz w:val="26"/>
                <w:szCs w:val="26"/>
                <w:lang w:val="en-US" w:eastAsia="ar-SA"/>
              </w:rPr>
            </w:pPr>
            <w:r w:rsidRPr="004D1C5D">
              <w:rPr>
                <w:rFonts w:ascii="Times New Roman" w:hAnsi="Times New Roman" w:cs="Times New Roman"/>
                <w:sz w:val="26"/>
                <w:szCs w:val="26"/>
                <w:lang w:val="en-US" w:eastAsia="ar-SA"/>
              </w:rPr>
              <w:t xml:space="preserve">1. Ủy ban nhân dân thành phố có trách nhiệm </w:t>
            </w:r>
            <w:r w:rsidRPr="004D1C5D">
              <w:rPr>
                <w:rFonts w:ascii="Times New Roman" w:hAnsi="Times New Roman" w:cs="Times New Roman"/>
                <w:sz w:val="26"/>
                <w:szCs w:val="26"/>
                <w:lang w:val="nl-NL" w:eastAsia="ar-SA"/>
              </w:rPr>
              <w:t>tổ chức triển khai, thực hiện Nghị quyết này và báo cáo kết quả thực hiện cho Hội đồng nhân dân thành phố theo quy định</w:t>
            </w:r>
            <w:r w:rsidRPr="004D1C5D">
              <w:rPr>
                <w:rFonts w:ascii="Times New Roman" w:hAnsi="Times New Roman" w:cs="Times New Roman"/>
                <w:sz w:val="26"/>
                <w:szCs w:val="26"/>
                <w:lang w:val="en-US" w:eastAsia="ar-SA"/>
              </w:rPr>
              <w:t>.</w:t>
            </w:r>
          </w:p>
          <w:p w14:paraId="78EA9BB0" w14:textId="77777777" w:rsidR="00D33025" w:rsidRPr="004D1C5D" w:rsidRDefault="00D33025" w:rsidP="00D33025">
            <w:pPr>
              <w:suppressAutoHyphens/>
              <w:spacing w:before="60" w:after="60" w:line="340" w:lineRule="exact"/>
              <w:ind w:right="51"/>
              <w:jc w:val="both"/>
              <w:rPr>
                <w:rFonts w:ascii="Times New Roman" w:hAnsi="Times New Roman" w:cs="Times New Roman"/>
                <w:sz w:val="26"/>
                <w:szCs w:val="26"/>
                <w:lang w:val="en-US" w:eastAsia="ar-SA"/>
              </w:rPr>
            </w:pPr>
            <w:r w:rsidRPr="004D1C5D">
              <w:rPr>
                <w:rFonts w:ascii="Times New Roman" w:hAnsi="Times New Roman" w:cs="Times New Roman"/>
                <w:bCs/>
                <w:sz w:val="26"/>
                <w:szCs w:val="26"/>
                <w:lang w:val="en-US" w:eastAsia="ar-SA"/>
              </w:rPr>
              <w:t>2.</w:t>
            </w:r>
            <w:r w:rsidRPr="004D1C5D">
              <w:rPr>
                <w:rFonts w:ascii="Times New Roman" w:hAnsi="Times New Roman" w:cs="Times New Roman"/>
                <w:sz w:val="26"/>
                <w:szCs w:val="26"/>
                <w:lang w:val="en-US" w:eastAsia="ar-SA"/>
              </w:rPr>
              <w:t xml:space="preserve"> Thường trực Hội đồng nhân dân, các Ban Hội đồng nhân dân, các Tổ đại biểu Hội đồng nhân dân và các đại biểu Hội đồng nhân dân thành phố giám sát việc thực hiện Nghị quyết này.</w:t>
            </w:r>
          </w:p>
          <w:p w14:paraId="41A6BD20" w14:textId="6FC629A4" w:rsidR="007750E7" w:rsidRPr="004D1C5D" w:rsidRDefault="00D33025" w:rsidP="00D33025">
            <w:pPr>
              <w:suppressAutoHyphens/>
              <w:spacing w:before="60" w:after="60" w:line="340" w:lineRule="exact"/>
              <w:ind w:right="51"/>
              <w:jc w:val="both"/>
              <w:rPr>
                <w:rFonts w:ascii="Times New Roman" w:eastAsia="Calibri" w:hAnsi="Times New Roman" w:cs="Times New Roman"/>
                <w:color w:val="000000"/>
                <w:sz w:val="26"/>
                <w:szCs w:val="26"/>
                <w:shd w:val="clear" w:color="auto" w:fill="FFFFFF"/>
                <w:lang w:val="en-US"/>
              </w:rPr>
            </w:pPr>
            <w:r w:rsidRPr="004D1C5D">
              <w:rPr>
                <w:rFonts w:ascii="Times New Roman" w:eastAsia="Calibri" w:hAnsi="Times New Roman" w:cs="Times New Roman"/>
                <w:color w:val="000000"/>
                <w:sz w:val="26"/>
                <w:szCs w:val="26"/>
                <w:shd w:val="clear" w:color="auto" w:fill="FFFFFF"/>
                <w:lang w:val="en-US"/>
              </w:rPr>
              <w:t xml:space="preserve">3. Đề nghị Ủy ban Mặt trận Tổ quốc Việt Nam thành phố, các tổ chức thành viên giám sát và vận động Nhân dân cùng tham gia giám sát việc thực hiện Nghị quyết này; phản ánh kịp thời tâm tư, nguyện vọng và kiến nghị của Nhân dân </w:t>
            </w:r>
            <w:r w:rsidRPr="004D1C5D">
              <w:rPr>
                <w:rFonts w:ascii="Times New Roman" w:eastAsia="Calibri" w:hAnsi="Times New Roman" w:cs="Times New Roman"/>
                <w:color w:val="000000"/>
                <w:sz w:val="26"/>
                <w:szCs w:val="26"/>
                <w:shd w:val="clear" w:color="auto" w:fill="FFFFFF"/>
                <w:lang w:val="en-US"/>
              </w:rPr>
              <w:lastRenderedPageBreak/>
              <w:t>đến các cơ quan có thẩm quyền theo quy định của pháp luật.</w:t>
            </w:r>
          </w:p>
        </w:tc>
        <w:tc>
          <w:tcPr>
            <w:tcW w:w="1408" w:type="pct"/>
            <w:shd w:val="clear" w:color="auto" w:fill="FFFFFF"/>
          </w:tcPr>
          <w:p w14:paraId="15BF2B48" w14:textId="745BE88C" w:rsidR="00373E92" w:rsidRPr="004D1C5D" w:rsidRDefault="00373E92" w:rsidP="005D4176">
            <w:pPr>
              <w:spacing w:before="60" w:after="60"/>
              <w:ind w:right="143"/>
              <w:jc w:val="both"/>
              <w:rPr>
                <w:rFonts w:ascii="Times New Roman" w:hAnsi="Times New Roman" w:cs="Times New Roman"/>
                <w:i/>
                <w:iCs/>
                <w:sz w:val="26"/>
                <w:szCs w:val="26"/>
                <w:lang w:val="en-US"/>
              </w:rPr>
            </w:pPr>
            <w:r w:rsidRPr="004D1C5D">
              <w:rPr>
                <w:rFonts w:ascii="Times New Roman" w:hAnsi="Times New Roman" w:cs="Times New Roman"/>
                <w:i/>
                <w:iCs/>
                <w:sz w:val="26"/>
                <w:szCs w:val="26"/>
                <w:lang w:val="en"/>
              </w:rPr>
              <w:lastRenderedPageBreak/>
              <w:t>Quy định trách nhiệm của Ủy ban nhân dân t</w:t>
            </w:r>
            <w:r w:rsidR="0089454C" w:rsidRPr="004D1C5D">
              <w:rPr>
                <w:rFonts w:ascii="Times New Roman" w:hAnsi="Times New Roman" w:cs="Times New Roman"/>
                <w:i/>
                <w:iCs/>
                <w:sz w:val="26"/>
                <w:szCs w:val="26"/>
                <w:lang w:val="en"/>
              </w:rPr>
              <w:t>hành phố</w:t>
            </w:r>
            <w:r w:rsidRPr="004D1C5D">
              <w:rPr>
                <w:rFonts w:ascii="Times New Roman" w:hAnsi="Times New Roman" w:cs="Times New Roman"/>
                <w:i/>
                <w:iCs/>
                <w:sz w:val="26"/>
                <w:szCs w:val="26"/>
                <w:lang w:val="en"/>
              </w:rPr>
              <w:t>, Thường trực Hội đồng nhân dân t</w:t>
            </w:r>
            <w:r w:rsidR="001E6F4D" w:rsidRPr="004D1C5D">
              <w:rPr>
                <w:rFonts w:ascii="Times New Roman" w:hAnsi="Times New Roman" w:cs="Times New Roman"/>
                <w:i/>
                <w:iCs/>
                <w:sz w:val="26"/>
                <w:szCs w:val="26"/>
                <w:lang w:val="en"/>
              </w:rPr>
              <w:t>hành phố</w:t>
            </w:r>
            <w:r w:rsidRPr="004D1C5D">
              <w:rPr>
                <w:rFonts w:ascii="Times New Roman" w:hAnsi="Times New Roman" w:cs="Times New Roman"/>
                <w:i/>
                <w:iCs/>
                <w:sz w:val="26"/>
                <w:szCs w:val="26"/>
                <w:lang w:val="en"/>
              </w:rPr>
              <w:t xml:space="preserve"> và vai trò Ủy ban Mặt trận Tổ quốc Việt Nam </w:t>
            </w:r>
            <w:r w:rsidR="001E6F4D" w:rsidRPr="004D1C5D">
              <w:rPr>
                <w:rFonts w:ascii="Times New Roman" w:hAnsi="Times New Roman" w:cs="Times New Roman"/>
                <w:i/>
                <w:iCs/>
                <w:sz w:val="26"/>
                <w:szCs w:val="26"/>
                <w:lang w:val="en"/>
              </w:rPr>
              <w:t>thành phố</w:t>
            </w:r>
            <w:r w:rsidRPr="004D1C5D">
              <w:rPr>
                <w:rFonts w:ascii="Times New Roman" w:hAnsi="Times New Roman" w:cs="Times New Roman"/>
                <w:i/>
                <w:iCs/>
                <w:sz w:val="26"/>
                <w:szCs w:val="26"/>
                <w:lang w:val="en"/>
              </w:rPr>
              <w:t xml:space="preserve"> giám sát việc thực hiện Nghị quyết</w:t>
            </w:r>
            <w:r w:rsidR="001E6F4D" w:rsidRPr="004D1C5D">
              <w:rPr>
                <w:rFonts w:ascii="Times New Roman" w:hAnsi="Times New Roman" w:cs="Times New Roman"/>
                <w:i/>
                <w:iCs/>
                <w:sz w:val="26"/>
                <w:szCs w:val="26"/>
                <w:lang w:val="en"/>
              </w:rPr>
              <w:t xml:space="preserve">. Đồng thời, </w:t>
            </w:r>
            <w:r w:rsidR="001E6F4D" w:rsidRPr="004D1C5D">
              <w:rPr>
                <w:rFonts w:ascii="Times New Roman" w:hAnsi="Times New Roman" w:cs="Times New Roman"/>
                <w:i/>
                <w:iCs/>
                <w:sz w:val="26"/>
                <w:szCs w:val="26"/>
                <w:lang w:val="en"/>
              </w:rPr>
              <w:t xml:space="preserve">điều chỉnh </w:t>
            </w:r>
            <w:r w:rsidR="00416054" w:rsidRPr="004D1C5D">
              <w:rPr>
                <w:rFonts w:ascii="Times New Roman" w:hAnsi="Times New Roman" w:cs="Times New Roman"/>
                <w:i/>
                <w:iCs/>
                <w:sz w:val="26"/>
                <w:szCs w:val="26"/>
                <w:lang w:val="en"/>
              </w:rPr>
              <w:t xml:space="preserve">tên </w:t>
            </w:r>
            <w:r w:rsidR="001E6F4D" w:rsidRPr="004D1C5D">
              <w:rPr>
                <w:rFonts w:ascii="Times New Roman" w:hAnsi="Times New Roman" w:cs="Times New Roman"/>
                <w:i/>
                <w:iCs/>
                <w:sz w:val="26"/>
                <w:szCs w:val="26"/>
                <w:lang w:val="en"/>
              </w:rPr>
              <w:t>đơn vị hành chính từ “tỉnh Đồng Nai” thành “thành phố Đồng Nai” cho phù hợp tình hình thực tế theo Nghị quyết số 30/2026/QH16 ngày 24/4/2026 của Quốc hội về việc thành lập thành phố Đồng Nai.</w:t>
            </w:r>
          </w:p>
          <w:p w14:paraId="34B25C2D" w14:textId="77777777" w:rsidR="007750E7" w:rsidRPr="004D1C5D" w:rsidRDefault="007750E7" w:rsidP="00D57F5E">
            <w:pPr>
              <w:autoSpaceDE w:val="0"/>
              <w:autoSpaceDN w:val="0"/>
              <w:adjustRightInd w:val="0"/>
              <w:spacing w:before="60" w:after="60"/>
              <w:ind w:right="143"/>
              <w:jc w:val="both"/>
              <w:rPr>
                <w:rFonts w:ascii="Times New Roman" w:hAnsi="Times New Roman" w:cs="Times New Roman"/>
                <w:i/>
                <w:iCs/>
                <w:sz w:val="26"/>
                <w:szCs w:val="26"/>
                <w:lang w:val="en"/>
              </w:rPr>
            </w:pPr>
          </w:p>
        </w:tc>
      </w:tr>
      <w:tr w:rsidR="00BF3E75" w:rsidRPr="004D1C5D" w14:paraId="7E0513C4" w14:textId="77777777" w:rsidTr="008E2958">
        <w:tc>
          <w:tcPr>
            <w:tcW w:w="1818" w:type="pct"/>
            <w:shd w:val="clear" w:color="auto" w:fill="FFFFFF"/>
          </w:tcPr>
          <w:p w14:paraId="6F4C5C97" w14:textId="77777777" w:rsidR="008F6CD1" w:rsidRPr="004D1C5D" w:rsidRDefault="008F6CD1" w:rsidP="008F6CD1">
            <w:pPr>
              <w:spacing w:before="60" w:after="120" w:line="340" w:lineRule="exact"/>
              <w:jc w:val="both"/>
              <w:rPr>
                <w:rFonts w:ascii="Times New Roman" w:hAnsi="Times New Roman" w:cs="Times New Roman"/>
                <w:b/>
                <w:bCs/>
                <w:sz w:val="26"/>
                <w:szCs w:val="26"/>
                <w:lang w:val="nl-NL"/>
              </w:rPr>
            </w:pPr>
            <w:r w:rsidRPr="004D1C5D">
              <w:rPr>
                <w:rFonts w:ascii="Times New Roman" w:hAnsi="Times New Roman" w:cs="Times New Roman"/>
                <w:b/>
                <w:bCs/>
                <w:sz w:val="26"/>
                <w:szCs w:val="26"/>
                <w:lang w:val="nl-NL"/>
              </w:rPr>
              <w:t>Điều 5. Hiệu lực thi hành</w:t>
            </w:r>
          </w:p>
          <w:p w14:paraId="05050928" w14:textId="34B24184" w:rsidR="00AE50B1" w:rsidRPr="004D1C5D" w:rsidRDefault="005B780D" w:rsidP="008F6CD1">
            <w:pPr>
              <w:tabs>
                <w:tab w:val="left" w:pos="993"/>
              </w:tabs>
              <w:spacing w:before="60" w:after="120" w:line="340" w:lineRule="exact"/>
              <w:jc w:val="both"/>
              <w:rPr>
                <w:rFonts w:ascii="Times New Roman" w:hAnsi="Times New Roman" w:cs="Times New Roman"/>
                <w:sz w:val="26"/>
                <w:szCs w:val="26"/>
                <w:lang w:val="nl-NL"/>
              </w:rPr>
            </w:pPr>
            <w:r w:rsidRPr="004D1C5D">
              <w:rPr>
                <w:rFonts w:ascii="Times New Roman" w:hAnsi="Times New Roman" w:cs="Times New Roman"/>
                <w:sz w:val="26"/>
                <w:szCs w:val="26"/>
                <w:lang w:val="nl-NL"/>
              </w:rPr>
              <w:t>Nghị quyết này đã được HĐND tỉnh Đồng Nai khóa IX kỳ họp thứ 16 thông qua ngày 10 tháng 7 năm 2020 và có hiệu lực từ ngày 01 tháng 8 năm 2020.</w:t>
            </w:r>
          </w:p>
          <w:p w14:paraId="7E380759" w14:textId="073CE254" w:rsidR="00BF3E75" w:rsidRPr="004D1C5D" w:rsidRDefault="00BF3E75" w:rsidP="002521C8">
            <w:pPr>
              <w:tabs>
                <w:tab w:val="left" w:pos="993"/>
              </w:tabs>
              <w:spacing w:before="60" w:after="120" w:line="340" w:lineRule="exact"/>
              <w:jc w:val="both"/>
              <w:rPr>
                <w:rFonts w:ascii="Times New Roman" w:hAnsi="Times New Roman" w:cs="Times New Roman"/>
                <w:sz w:val="26"/>
                <w:szCs w:val="26"/>
                <w:shd w:val="clear" w:color="auto" w:fill="FFFFFF"/>
                <w:lang w:val="en-US"/>
              </w:rPr>
            </w:pPr>
          </w:p>
        </w:tc>
        <w:tc>
          <w:tcPr>
            <w:tcW w:w="1774" w:type="pct"/>
            <w:shd w:val="clear" w:color="auto" w:fill="FFFFFF"/>
          </w:tcPr>
          <w:p w14:paraId="1092D6B6" w14:textId="77777777" w:rsidR="005873A5" w:rsidRPr="004D1C5D" w:rsidRDefault="005873A5" w:rsidP="005873A5">
            <w:pPr>
              <w:spacing w:before="60" w:after="120" w:line="340" w:lineRule="exact"/>
              <w:jc w:val="both"/>
              <w:rPr>
                <w:rFonts w:ascii="Times New Roman" w:hAnsi="Times New Roman" w:cs="Times New Roman"/>
                <w:b/>
                <w:bCs/>
                <w:sz w:val="26"/>
                <w:szCs w:val="26"/>
                <w:lang w:val="nl-NL"/>
              </w:rPr>
            </w:pPr>
            <w:r w:rsidRPr="004D1C5D">
              <w:rPr>
                <w:rFonts w:ascii="Times New Roman" w:hAnsi="Times New Roman" w:cs="Times New Roman"/>
                <w:b/>
                <w:bCs/>
                <w:sz w:val="26"/>
                <w:szCs w:val="26"/>
                <w:lang w:val="nl-NL"/>
              </w:rPr>
              <w:t>Điều 5. Hiệu lực thi hành</w:t>
            </w:r>
          </w:p>
          <w:p w14:paraId="6C43CBF9" w14:textId="096B5ECC" w:rsidR="005873A5" w:rsidRPr="004D1C5D" w:rsidRDefault="005873A5" w:rsidP="005873A5">
            <w:pPr>
              <w:tabs>
                <w:tab w:val="left" w:pos="993"/>
              </w:tabs>
              <w:spacing w:before="60" w:after="120" w:line="340" w:lineRule="exact"/>
              <w:jc w:val="both"/>
              <w:rPr>
                <w:rFonts w:ascii="Times New Roman" w:hAnsi="Times New Roman" w:cs="Times New Roman"/>
                <w:sz w:val="26"/>
                <w:szCs w:val="26"/>
                <w:lang w:val="nl-NL"/>
              </w:rPr>
            </w:pPr>
            <w:r w:rsidRPr="004D1C5D">
              <w:rPr>
                <w:rFonts w:ascii="Times New Roman" w:hAnsi="Times New Roman" w:cs="Times New Roman"/>
                <w:sz w:val="26"/>
                <w:szCs w:val="26"/>
                <w:lang w:val="nl-NL"/>
              </w:rPr>
              <w:t xml:space="preserve">1. </w:t>
            </w:r>
            <w:r w:rsidRPr="004D1C5D">
              <w:rPr>
                <w:rFonts w:ascii="Times New Roman" w:hAnsi="Times New Roman" w:cs="Times New Roman"/>
                <w:sz w:val="26"/>
                <w:szCs w:val="26"/>
                <w:lang w:val="nl-NL"/>
              </w:rPr>
              <w:t xml:space="preserve">Nghị quyết này </w:t>
            </w:r>
            <w:r w:rsidRPr="004D1C5D">
              <w:rPr>
                <w:rFonts w:ascii="Times New Roman" w:hAnsi="Times New Roman" w:cs="Times New Roman"/>
                <w:sz w:val="26"/>
                <w:szCs w:val="26"/>
                <w:lang w:val="en-US"/>
              </w:rPr>
              <w:t>có hiệu lực từ ngày … tháng … năm 2026.</w:t>
            </w:r>
          </w:p>
          <w:p w14:paraId="527D1397" w14:textId="77777777" w:rsidR="00316DA7" w:rsidRPr="004D1C5D" w:rsidRDefault="00316DA7" w:rsidP="005873A5">
            <w:pPr>
              <w:spacing w:before="60" w:after="120" w:line="340" w:lineRule="exact"/>
              <w:jc w:val="both"/>
              <w:rPr>
                <w:rFonts w:ascii="Times New Roman" w:hAnsi="Times New Roman" w:cs="Times New Roman"/>
                <w:sz w:val="26"/>
                <w:szCs w:val="26"/>
                <w:shd w:val="clear" w:color="auto" w:fill="FFFFFF"/>
                <w:lang w:val="en-US"/>
              </w:rPr>
            </w:pPr>
          </w:p>
          <w:p w14:paraId="467ECA9B" w14:textId="023E6805" w:rsidR="00BF3E75" w:rsidRPr="004D1C5D" w:rsidRDefault="005873A5" w:rsidP="006920A0">
            <w:pPr>
              <w:spacing w:before="60" w:after="120" w:line="340" w:lineRule="exact"/>
              <w:jc w:val="both"/>
              <w:rPr>
                <w:rFonts w:ascii="Times New Roman" w:hAnsi="Times New Roman" w:cs="Times New Roman"/>
                <w:sz w:val="26"/>
                <w:szCs w:val="26"/>
                <w:shd w:val="clear" w:color="auto" w:fill="FFFFFF"/>
                <w:lang w:val="en-US"/>
              </w:rPr>
            </w:pPr>
            <w:r w:rsidRPr="004D1C5D">
              <w:rPr>
                <w:rFonts w:ascii="Times New Roman" w:hAnsi="Times New Roman" w:cs="Times New Roman"/>
                <w:sz w:val="26"/>
                <w:szCs w:val="26"/>
                <w:shd w:val="clear" w:color="auto" w:fill="FFFFFF"/>
                <w:lang w:val="en-US"/>
              </w:rPr>
              <w:t>2. Nghị quyết này thay thế Nghị quyết số 04/2020/NQ-HĐND ngày 10 tháng 07 năm 2020 của Hội đồng nhân dân tỉnh Đồng Nai (nay là Hội đồng nhân dân thành phố Đồng Nai) quy định mức chi thực hiện công tác thăm dò, khai quật khảo cổ trên địa bàn tỉnh Đồng Nai.</w:t>
            </w:r>
          </w:p>
        </w:tc>
        <w:tc>
          <w:tcPr>
            <w:tcW w:w="1408" w:type="pct"/>
            <w:shd w:val="clear" w:color="auto" w:fill="FFFFFF"/>
          </w:tcPr>
          <w:p w14:paraId="41517EC4" w14:textId="138324DF" w:rsidR="00575EB2" w:rsidRPr="004D1C5D" w:rsidRDefault="00575EB2" w:rsidP="00336D2D">
            <w:pPr>
              <w:autoSpaceDE w:val="0"/>
              <w:autoSpaceDN w:val="0"/>
              <w:adjustRightInd w:val="0"/>
              <w:spacing w:before="60" w:after="60"/>
              <w:ind w:right="143"/>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 xml:space="preserve">Đảm bảo thực hiện theo quy định về hiệu lực của văn bản quy phạm pháp luật và bãi bỏ các nội dung có liên quan đảm bảo tính thống nhất của hệ thống văn bản quy phạm pháp luật </w:t>
            </w:r>
            <w:r w:rsidRPr="004D1C5D">
              <w:rPr>
                <w:rFonts w:ascii="Times New Roman" w:hAnsi="Times New Roman" w:cs="Times New Roman"/>
                <w:i/>
                <w:iCs/>
                <w:sz w:val="26"/>
                <w:szCs w:val="26"/>
                <w:lang w:val="en"/>
              </w:rPr>
              <w:t>thành phố</w:t>
            </w:r>
            <w:r w:rsidRPr="004D1C5D">
              <w:rPr>
                <w:rFonts w:ascii="Times New Roman" w:hAnsi="Times New Roman" w:cs="Times New Roman"/>
                <w:i/>
                <w:iCs/>
                <w:sz w:val="26"/>
                <w:szCs w:val="26"/>
                <w:lang w:val="en"/>
              </w:rPr>
              <w:t xml:space="preserve"> Đồng Nai.</w:t>
            </w:r>
          </w:p>
          <w:p w14:paraId="4758FCDB" w14:textId="77777777" w:rsidR="001744F1" w:rsidRPr="004D1C5D" w:rsidRDefault="001744F1" w:rsidP="00575EB2">
            <w:pPr>
              <w:autoSpaceDE w:val="0"/>
              <w:autoSpaceDN w:val="0"/>
              <w:adjustRightInd w:val="0"/>
              <w:spacing w:before="60" w:after="60"/>
              <w:ind w:left="140" w:right="143"/>
              <w:jc w:val="both"/>
              <w:rPr>
                <w:rFonts w:ascii="Times New Roman" w:hAnsi="Times New Roman" w:cs="Times New Roman"/>
                <w:i/>
                <w:iCs/>
                <w:sz w:val="26"/>
                <w:szCs w:val="26"/>
                <w:lang w:val="en"/>
              </w:rPr>
            </w:pPr>
          </w:p>
          <w:p w14:paraId="7FB6B66D" w14:textId="77777777" w:rsidR="001744F1" w:rsidRPr="004D1C5D" w:rsidRDefault="001744F1" w:rsidP="00575EB2">
            <w:pPr>
              <w:autoSpaceDE w:val="0"/>
              <w:autoSpaceDN w:val="0"/>
              <w:adjustRightInd w:val="0"/>
              <w:spacing w:before="60" w:after="60"/>
              <w:ind w:left="140" w:right="143"/>
              <w:jc w:val="both"/>
              <w:rPr>
                <w:rFonts w:ascii="Times New Roman" w:hAnsi="Times New Roman" w:cs="Times New Roman"/>
                <w:i/>
                <w:iCs/>
                <w:sz w:val="26"/>
                <w:szCs w:val="26"/>
                <w:lang w:val="en"/>
              </w:rPr>
            </w:pPr>
          </w:p>
          <w:p w14:paraId="4438D1BD" w14:textId="77777777" w:rsidR="001744F1" w:rsidRPr="004D1C5D" w:rsidRDefault="001744F1" w:rsidP="00575EB2">
            <w:pPr>
              <w:autoSpaceDE w:val="0"/>
              <w:autoSpaceDN w:val="0"/>
              <w:adjustRightInd w:val="0"/>
              <w:spacing w:before="60" w:after="60"/>
              <w:ind w:left="140" w:right="143"/>
              <w:jc w:val="both"/>
              <w:rPr>
                <w:rFonts w:ascii="Times New Roman" w:hAnsi="Times New Roman" w:cs="Times New Roman"/>
                <w:i/>
                <w:iCs/>
                <w:sz w:val="26"/>
                <w:szCs w:val="26"/>
                <w:lang w:val="en"/>
              </w:rPr>
            </w:pPr>
          </w:p>
          <w:p w14:paraId="0538CFB0" w14:textId="77777777" w:rsidR="001744F1" w:rsidRPr="004D1C5D" w:rsidRDefault="001744F1" w:rsidP="00575EB2">
            <w:pPr>
              <w:autoSpaceDE w:val="0"/>
              <w:autoSpaceDN w:val="0"/>
              <w:adjustRightInd w:val="0"/>
              <w:spacing w:before="60" w:after="60"/>
              <w:ind w:left="140" w:right="143"/>
              <w:jc w:val="both"/>
              <w:rPr>
                <w:rFonts w:ascii="Times New Roman" w:hAnsi="Times New Roman" w:cs="Times New Roman"/>
                <w:i/>
                <w:iCs/>
                <w:sz w:val="26"/>
                <w:szCs w:val="26"/>
                <w:lang w:val="en"/>
              </w:rPr>
            </w:pPr>
          </w:p>
          <w:p w14:paraId="092F7E18" w14:textId="0DB4B1FF" w:rsidR="00BF3E75" w:rsidRPr="004D1C5D" w:rsidRDefault="00BF3E75" w:rsidP="006920A0">
            <w:pPr>
              <w:autoSpaceDE w:val="0"/>
              <w:autoSpaceDN w:val="0"/>
              <w:adjustRightInd w:val="0"/>
              <w:spacing w:before="60" w:after="60"/>
              <w:ind w:right="143"/>
              <w:jc w:val="both"/>
              <w:rPr>
                <w:rFonts w:ascii="Times New Roman" w:hAnsi="Times New Roman" w:cs="Times New Roman"/>
                <w:i/>
                <w:iCs/>
                <w:sz w:val="26"/>
                <w:szCs w:val="26"/>
                <w:lang w:val="en"/>
              </w:rPr>
            </w:pPr>
          </w:p>
        </w:tc>
      </w:tr>
      <w:tr w:rsidR="006920A0" w:rsidRPr="004D1C5D" w14:paraId="3EF273DD" w14:textId="77777777" w:rsidTr="008E2958">
        <w:tc>
          <w:tcPr>
            <w:tcW w:w="1818" w:type="pct"/>
            <w:shd w:val="clear" w:color="auto" w:fill="FFFFFF"/>
          </w:tcPr>
          <w:p w14:paraId="452BFC60" w14:textId="77777777" w:rsidR="006920A0" w:rsidRPr="004D1C5D" w:rsidRDefault="006920A0" w:rsidP="008F6CD1">
            <w:pPr>
              <w:spacing w:before="60" w:after="120" w:line="340" w:lineRule="exact"/>
              <w:jc w:val="both"/>
              <w:rPr>
                <w:rFonts w:ascii="Times New Roman" w:hAnsi="Times New Roman" w:cs="Times New Roman"/>
                <w:b/>
                <w:bCs/>
                <w:sz w:val="26"/>
                <w:szCs w:val="26"/>
                <w:lang w:val="nl-NL"/>
              </w:rPr>
            </w:pPr>
          </w:p>
        </w:tc>
        <w:tc>
          <w:tcPr>
            <w:tcW w:w="1774" w:type="pct"/>
            <w:shd w:val="clear" w:color="auto" w:fill="FFFFFF"/>
          </w:tcPr>
          <w:p w14:paraId="535FCF01" w14:textId="77777777" w:rsidR="006920A0" w:rsidRPr="004D1C5D" w:rsidRDefault="006920A0" w:rsidP="006920A0">
            <w:pPr>
              <w:tabs>
                <w:tab w:val="left" w:pos="993"/>
              </w:tabs>
              <w:spacing w:before="60" w:after="120" w:line="340" w:lineRule="exact"/>
              <w:jc w:val="both"/>
              <w:rPr>
                <w:rFonts w:ascii="Times New Roman" w:hAnsi="Times New Roman" w:cs="Times New Roman"/>
                <w:sz w:val="26"/>
                <w:szCs w:val="26"/>
                <w:shd w:val="clear" w:color="auto" w:fill="FFFFFF"/>
                <w:lang w:val="en-US"/>
              </w:rPr>
            </w:pPr>
            <w:r w:rsidRPr="004D1C5D">
              <w:rPr>
                <w:rFonts w:ascii="Times New Roman" w:hAnsi="Times New Roman" w:cs="Times New Roman"/>
                <w:sz w:val="26"/>
                <w:szCs w:val="26"/>
                <w:shd w:val="clear" w:color="auto" w:fill="FFFFFF"/>
                <w:lang w:val="en-US"/>
              </w:rPr>
              <w:t>3. Quy định chuyển tiếp</w:t>
            </w:r>
          </w:p>
          <w:p w14:paraId="437DDA53" w14:textId="1D95432A" w:rsidR="006920A0" w:rsidRPr="004D1C5D" w:rsidRDefault="006920A0" w:rsidP="006920A0">
            <w:pPr>
              <w:spacing w:before="60" w:after="120" w:line="340" w:lineRule="exact"/>
              <w:jc w:val="both"/>
              <w:rPr>
                <w:rFonts w:ascii="Times New Roman" w:hAnsi="Times New Roman" w:cs="Times New Roman"/>
                <w:b/>
                <w:bCs/>
                <w:sz w:val="26"/>
                <w:szCs w:val="26"/>
                <w:lang w:val="nl-NL"/>
              </w:rPr>
            </w:pPr>
            <w:r w:rsidRPr="004D1C5D">
              <w:rPr>
                <w:rFonts w:ascii="Times New Roman" w:hAnsi="Times New Roman" w:cs="Times New Roman"/>
                <w:sz w:val="26"/>
                <w:szCs w:val="26"/>
                <w:shd w:val="clear" w:color="auto" w:fill="FFFFFF"/>
                <w:lang w:val="en-US"/>
              </w:rPr>
              <w:t>Các dự án khai quật khảo cổ đã và đang trong quá trình thực hiện trước ngày Nghị quyết này có hiệu lực thi hành nhưng chưa thực hiện thanh, quyết toán thì tiếp tục thực hiện theo các nội dung chi, mức chi đã được phê duyệt tại Nghị quyết số 04/2020/NQ-HĐND ngày 10/7/2020 của Hội đồng nhân dân tỉnh Đồng Nai Quy định mức chi thực hiện công tác thăm dò, khai quật khảo cổ trên địa bàn tỉnh Đồng Nai.</w:t>
            </w:r>
          </w:p>
        </w:tc>
        <w:tc>
          <w:tcPr>
            <w:tcW w:w="1408" w:type="pct"/>
            <w:shd w:val="clear" w:color="auto" w:fill="FFFFFF"/>
          </w:tcPr>
          <w:p w14:paraId="11769597" w14:textId="77777777" w:rsidR="006920A0" w:rsidRPr="004D1C5D" w:rsidRDefault="006920A0" w:rsidP="00837877">
            <w:pPr>
              <w:autoSpaceDE w:val="0"/>
              <w:autoSpaceDN w:val="0"/>
              <w:adjustRightInd w:val="0"/>
              <w:spacing w:before="60" w:after="60"/>
              <w:ind w:right="143" w:firstLine="76"/>
              <w:jc w:val="both"/>
              <w:rPr>
                <w:rFonts w:ascii="Times New Roman" w:hAnsi="Times New Roman" w:cs="Times New Roman"/>
                <w:i/>
                <w:iCs/>
                <w:sz w:val="26"/>
                <w:szCs w:val="26"/>
                <w:lang w:val="en"/>
              </w:rPr>
            </w:pPr>
            <w:r w:rsidRPr="004D1C5D">
              <w:rPr>
                <w:rFonts w:ascii="Times New Roman" w:hAnsi="Times New Roman" w:cs="Times New Roman"/>
                <w:i/>
                <w:iCs/>
                <w:sz w:val="26"/>
                <w:szCs w:val="26"/>
                <w:lang w:val="en"/>
              </w:rPr>
              <w:t>Đảm bảo các dự án đã và đang triển khai thực hiện có căn cứ pháp lý để áp dụng mức chi, tránh gây xáo trộn hoặc thiệt hại cho các tổ chức, cá nhân đang chịu sự điều chỉnh của Nghị quyết cũ.</w:t>
            </w:r>
          </w:p>
          <w:p w14:paraId="4E2D67C3" w14:textId="77777777" w:rsidR="006920A0" w:rsidRPr="004D1C5D" w:rsidRDefault="006920A0" w:rsidP="00575EB2">
            <w:pPr>
              <w:autoSpaceDE w:val="0"/>
              <w:autoSpaceDN w:val="0"/>
              <w:adjustRightInd w:val="0"/>
              <w:spacing w:before="60" w:after="60"/>
              <w:ind w:left="140" w:right="143"/>
              <w:jc w:val="both"/>
              <w:rPr>
                <w:rFonts w:ascii="Times New Roman" w:hAnsi="Times New Roman" w:cs="Times New Roman"/>
                <w:i/>
                <w:iCs/>
                <w:sz w:val="26"/>
                <w:szCs w:val="26"/>
                <w:lang w:val="en"/>
              </w:rPr>
            </w:pPr>
          </w:p>
        </w:tc>
      </w:tr>
    </w:tbl>
    <w:p w14:paraId="7E99FFE6" w14:textId="77777777" w:rsidR="002353B8" w:rsidRPr="004D1C5D" w:rsidRDefault="002353B8" w:rsidP="00430336">
      <w:pPr>
        <w:jc w:val="both"/>
        <w:rPr>
          <w:rFonts w:ascii="Times New Roman" w:hAnsi="Times New Roman" w:cs="Times New Roman"/>
          <w:sz w:val="26"/>
          <w:szCs w:val="26"/>
        </w:rPr>
      </w:pPr>
    </w:p>
    <w:sectPr w:rsidR="002353B8" w:rsidRPr="004D1C5D" w:rsidSect="00AC4C50">
      <w:headerReference w:type="default" r:id="rId8"/>
      <w:pgSz w:w="16838" w:h="11906" w:orient="landscape"/>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1D86" w14:textId="77777777" w:rsidR="001726B4" w:rsidRDefault="001726B4" w:rsidP="00430901">
      <w:r>
        <w:separator/>
      </w:r>
    </w:p>
  </w:endnote>
  <w:endnote w:type="continuationSeparator" w:id="0">
    <w:p w14:paraId="6FD8AC4D" w14:textId="77777777" w:rsidR="001726B4" w:rsidRDefault="001726B4" w:rsidP="0043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0119" w14:textId="77777777" w:rsidR="001726B4" w:rsidRDefault="001726B4" w:rsidP="00430901">
      <w:r>
        <w:separator/>
      </w:r>
    </w:p>
  </w:footnote>
  <w:footnote w:type="continuationSeparator" w:id="0">
    <w:p w14:paraId="0F5588C9" w14:textId="77777777" w:rsidR="001726B4" w:rsidRDefault="001726B4" w:rsidP="0043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22840"/>
      <w:docPartObj>
        <w:docPartGallery w:val="Page Numbers (Top of Page)"/>
        <w:docPartUnique/>
      </w:docPartObj>
    </w:sdtPr>
    <w:sdtEndPr>
      <w:rPr>
        <w:rFonts w:ascii="Times New Roman" w:hAnsi="Times New Roman" w:cs="Times New Roman"/>
        <w:noProof/>
        <w:sz w:val="26"/>
        <w:szCs w:val="26"/>
      </w:rPr>
    </w:sdtEndPr>
    <w:sdtContent>
      <w:p w14:paraId="3727CABB" w14:textId="6BEAD837" w:rsidR="00430901" w:rsidRPr="00430901" w:rsidRDefault="00430901">
        <w:pPr>
          <w:pStyle w:val="Header"/>
          <w:jc w:val="center"/>
          <w:rPr>
            <w:rFonts w:ascii="Times New Roman" w:hAnsi="Times New Roman" w:cs="Times New Roman"/>
            <w:sz w:val="26"/>
            <w:szCs w:val="26"/>
          </w:rPr>
        </w:pPr>
        <w:r w:rsidRPr="00430901">
          <w:rPr>
            <w:rFonts w:ascii="Times New Roman" w:hAnsi="Times New Roman" w:cs="Times New Roman"/>
            <w:sz w:val="26"/>
            <w:szCs w:val="26"/>
          </w:rPr>
          <w:fldChar w:fldCharType="begin"/>
        </w:r>
        <w:r w:rsidRPr="00430901">
          <w:rPr>
            <w:rFonts w:ascii="Times New Roman" w:hAnsi="Times New Roman" w:cs="Times New Roman"/>
            <w:sz w:val="26"/>
            <w:szCs w:val="26"/>
          </w:rPr>
          <w:instrText xml:space="preserve"> PAGE   \* MERGEFORMAT </w:instrText>
        </w:r>
        <w:r w:rsidRPr="00430901">
          <w:rPr>
            <w:rFonts w:ascii="Times New Roman" w:hAnsi="Times New Roman" w:cs="Times New Roman"/>
            <w:sz w:val="26"/>
            <w:szCs w:val="26"/>
          </w:rPr>
          <w:fldChar w:fldCharType="separate"/>
        </w:r>
        <w:r w:rsidRPr="00430901">
          <w:rPr>
            <w:rFonts w:ascii="Times New Roman" w:hAnsi="Times New Roman" w:cs="Times New Roman"/>
            <w:noProof/>
            <w:sz w:val="26"/>
            <w:szCs w:val="26"/>
          </w:rPr>
          <w:t>2</w:t>
        </w:r>
        <w:r w:rsidRPr="00430901">
          <w:rPr>
            <w:rFonts w:ascii="Times New Roman" w:hAnsi="Times New Roman" w:cs="Times New Roman"/>
            <w:noProof/>
            <w:sz w:val="26"/>
            <w:szCs w:val="26"/>
          </w:rPr>
          <w:fldChar w:fldCharType="end"/>
        </w:r>
      </w:p>
    </w:sdtContent>
  </w:sdt>
  <w:p w14:paraId="1442F6FE" w14:textId="77777777" w:rsidR="00430901" w:rsidRDefault="0043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896"/>
    <w:multiLevelType w:val="hybridMultilevel"/>
    <w:tmpl w:val="5F2A6B5A"/>
    <w:lvl w:ilvl="0" w:tplc="088C59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60D9B"/>
    <w:multiLevelType w:val="hybridMultilevel"/>
    <w:tmpl w:val="B1F20770"/>
    <w:lvl w:ilvl="0" w:tplc="D6C4B8D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3820783">
    <w:abstractNumId w:val="1"/>
  </w:num>
  <w:num w:numId="2" w16cid:durableId="1246648840">
    <w:abstractNumId w:val="3"/>
  </w:num>
  <w:num w:numId="3" w16cid:durableId="1982538793">
    <w:abstractNumId w:val="0"/>
  </w:num>
  <w:num w:numId="4" w16cid:durableId="12391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22B0B"/>
    <w:rsid w:val="000477B1"/>
    <w:rsid w:val="00055E00"/>
    <w:rsid w:val="000839ED"/>
    <w:rsid w:val="00090EE4"/>
    <w:rsid w:val="0009430B"/>
    <w:rsid w:val="000C252F"/>
    <w:rsid w:val="000C390B"/>
    <w:rsid w:val="000C441F"/>
    <w:rsid w:val="000C5E16"/>
    <w:rsid w:val="000D01BC"/>
    <w:rsid w:val="000E0D61"/>
    <w:rsid w:val="001038C1"/>
    <w:rsid w:val="00103FE2"/>
    <w:rsid w:val="00113891"/>
    <w:rsid w:val="00114803"/>
    <w:rsid w:val="00137B6F"/>
    <w:rsid w:val="001479F3"/>
    <w:rsid w:val="00150057"/>
    <w:rsid w:val="001726B4"/>
    <w:rsid w:val="001731C7"/>
    <w:rsid w:val="00173525"/>
    <w:rsid w:val="001744F1"/>
    <w:rsid w:val="00185242"/>
    <w:rsid w:val="00190A3E"/>
    <w:rsid w:val="00191814"/>
    <w:rsid w:val="00194F1D"/>
    <w:rsid w:val="001977DA"/>
    <w:rsid w:val="001B2D0D"/>
    <w:rsid w:val="001B494E"/>
    <w:rsid w:val="001B5932"/>
    <w:rsid w:val="001C2C2A"/>
    <w:rsid w:val="001C3992"/>
    <w:rsid w:val="001C789C"/>
    <w:rsid w:val="001D2DDF"/>
    <w:rsid w:val="001E0E90"/>
    <w:rsid w:val="001E5D77"/>
    <w:rsid w:val="001E6F4D"/>
    <w:rsid w:val="001E79FE"/>
    <w:rsid w:val="001F4C41"/>
    <w:rsid w:val="0020453F"/>
    <w:rsid w:val="00211393"/>
    <w:rsid w:val="00220F69"/>
    <w:rsid w:val="00222D75"/>
    <w:rsid w:val="00225C46"/>
    <w:rsid w:val="002303C4"/>
    <w:rsid w:val="00234423"/>
    <w:rsid w:val="002353B8"/>
    <w:rsid w:val="0024607E"/>
    <w:rsid w:val="002521C8"/>
    <w:rsid w:val="00255B26"/>
    <w:rsid w:val="00286820"/>
    <w:rsid w:val="00292B46"/>
    <w:rsid w:val="00297768"/>
    <w:rsid w:val="002A0A40"/>
    <w:rsid w:val="002B356B"/>
    <w:rsid w:val="002B53CE"/>
    <w:rsid w:val="002C5E71"/>
    <w:rsid w:val="002E1D7D"/>
    <w:rsid w:val="002F3080"/>
    <w:rsid w:val="0030039D"/>
    <w:rsid w:val="0031241D"/>
    <w:rsid w:val="00313DE5"/>
    <w:rsid w:val="003152B1"/>
    <w:rsid w:val="00316DA7"/>
    <w:rsid w:val="0032572E"/>
    <w:rsid w:val="00325D06"/>
    <w:rsid w:val="003312D1"/>
    <w:rsid w:val="003337A0"/>
    <w:rsid w:val="00336AB8"/>
    <w:rsid w:val="00336D2D"/>
    <w:rsid w:val="0035413C"/>
    <w:rsid w:val="00354A95"/>
    <w:rsid w:val="00362475"/>
    <w:rsid w:val="00373E92"/>
    <w:rsid w:val="00374CCC"/>
    <w:rsid w:val="00375621"/>
    <w:rsid w:val="00390C18"/>
    <w:rsid w:val="003B2B3F"/>
    <w:rsid w:val="003B6D03"/>
    <w:rsid w:val="003B79DF"/>
    <w:rsid w:val="003D5F0F"/>
    <w:rsid w:val="003D66EF"/>
    <w:rsid w:val="003E1335"/>
    <w:rsid w:val="003E5308"/>
    <w:rsid w:val="003E6D10"/>
    <w:rsid w:val="003E786D"/>
    <w:rsid w:val="004036E7"/>
    <w:rsid w:val="00405160"/>
    <w:rsid w:val="00414650"/>
    <w:rsid w:val="00416054"/>
    <w:rsid w:val="00427AFE"/>
    <w:rsid w:val="00430336"/>
    <w:rsid w:val="00430901"/>
    <w:rsid w:val="00431E67"/>
    <w:rsid w:val="004337FD"/>
    <w:rsid w:val="00446C37"/>
    <w:rsid w:val="004646E9"/>
    <w:rsid w:val="004B7EBC"/>
    <w:rsid w:val="004C3470"/>
    <w:rsid w:val="004C44CB"/>
    <w:rsid w:val="004D0400"/>
    <w:rsid w:val="004D1C5D"/>
    <w:rsid w:val="004E4C25"/>
    <w:rsid w:val="004F6296"/>
    <w:rsid w:val="00526F1C"/>
    <w:rsid w:val="00530858"/>
    <w:rsid w:val="00530ACA"/>
    <w:rsid w:val="005327C7"/>
    <w:rsid w:val="00556716"/>
    <w:rsid w:val="005649B7"/>
    <w:rsid w:val="0056669D"/>
    <w:rsid w:val="00575EB2"/>
    <w:rsid w:val="0057737B"/>
    <w:rsid w:val="00581121"/>
    <w:rsid w:val="005873A5"/>
    <w:rsid w:val="00593531"/>
    <w:rsid w:val="005B0BB9"/>
    <w:rsid w:val="005B419F"/>
    <w:rsid w:val="005B58F4"/>
    <w:rsid w:val="005B780D"/>
    <w:rsid w:val="005D01ED"/>
    <w:rsid w:val="005D1843"/>
    <w:rsid w:val="005D4176"/>
    <w:rsid w:val="005E7D06"/>
    <w:rsid w:val="005F7272"/>
    <w:rsid w:val="00601016"/>
    <w:rsid w:val="006050EB"/>
    <w:rsid w:val="00617E50"/>
    <w:rsid w:val="00627471"/>
    <w:rsid w:val="00636684"/>
    <w:rsid w:val="00671B96"/>
    <w:rsid w:val="006728DC"/>
    <w:rsid w:val="00685B22"/>
    <w:rsid w:val="006920A0"/>
    <w:rsid w:val="00695E2C"/>
    <w:rsid w:val="00696F1D"/>
    <w:rsid w:val="006B003B"/>
    <w:rsid w:val="006B3D59"/>
    <w:rsid w:val="006C022C"/>
    <w:rsid w:val="006C02B6"/>
    <w:rsid w:val="006C0597"/>
    <w:rsid w:val="006C20A4"/>
    <w:rsid w:val="006C230B"/>
    <w:rsid w:val="006C5DC7"/>
    <w:rsid w:val="006D0634"/>
    <w:rsid w:val="006F130C"/>
    <w:rsid w:val="006F1C9D"/>
    <w:rsid w:val="006F1DBD"/>
    <w:rsid w:val="00704471"/>
    <w:rsid w:val="00720EE2"/>
    <w:rsid w:val="00724496"/>
    <w:rsid w:val="007347D6"/>
    <w:rsid w:val="00743DE6"/>
    <w:rsid w:val="00745283"/>
    <w:rsid w:val="007631F9"/>
    <w:rsid w:val="00772AEB"/>
    <w:rsid w:val="00773850"/>
    <w:rsid w:val="007750E7"/>
    <w:rsid w:val="00776E0D"/>
    <w:rsid w:val="00790B3D"/>
    <w:rsid w:val="00790C9E"/>
    <w:rsid w:val="00792516"/>
    <w:rsid w:val="00794E67"/>
    <w:rsid w:val="007A1E47"/>
    <w:rsid w:val="007A7F2A"/>
    <w:rsid w:val="007B7254"/>
    <w:rsid w:val="007B75B9"/>
    <w:rsid w:val="007C09F5"/>
    <w:rsid w:val="007D0FC1"/>
    <w:rsid w:val="007D2E15"/>
    <w:rsid w:val="007E7D7D"/>
    <w:rsid w:val="008251F3"/>
    <w:rsid w:val="00837877"/>
    <w:rsid w:val="00844128"/>
    <w:rsid w:val="00856143"/>
    <w:rsid w:val="008674AC"/>
    <w:rsid w:val="008723EA"/>
    <w:rsid w:val="00874BF4"/>
    <w:rsid w:val="0088068C"/>
    <w:rsid w:val="0089454C"/>
    <w:rsid w:val="00897279"/>
    <w:rsid w:val="008B0F31"/>
    <w:rsid w:val="008D05C5"/>
    <w:rsid w:val="008E0A09"/>
    <w:rsid w:val="008E2958"/>
    <w:rsid w:val="008E7E46"/>
    <w:rsid w:val="008F2E76"/>
    <w:rsid w:val="008F34A1"/>
    <w:rsid w:val="008F6CD1"/>
    <w:rsid w:val="008F7613"/>
    <w:rsid w:val="00904E67"/>
    <w:rsid w:val="0091333E"/>
    <w:rsid w:val="009211EF"/>
    <w:rsid w:val="009304FB"/>
    <w:rsid w:val="00930F11"/>
    <w:rsid w:val="00941CCD"/>
    <w:rsid w:val="00947D12"/>
    <w:rsid w:val="00955B7E"/>
    <w:rsid w:val="009603E2"/>
    <w:rsid w:val="00964A14"/>
    <w:rsid w:val="009654B0"/>
    <w:rsid w:val="009758A4"/>
    <w:rsid w:val="00976180"/>
    <w:rsid w:val="009B5335"/>
    <w:rsid w:val="009C2EE0"/>
    <w:rsid w:val="009C2EED"/>
    <w:rsid w:val="009D1A2F"/>
    <w:rsid w:val="009D439A"/>
    <w:rsid w:val="009E3192"/>
    <w:rsid w:val="009E6D4E"/>
    <w:rsid w:val="009F532C"/>
    <w:rsid w:val="00A00147"/>
    <w:rsid w:val="00A058E2"/>
    <w:rsid w:val="00A05ED3"/>
    <w:rsid w:val="00A06F12"/>
    <w:rsid w:val="00A14783"/>
    <w:rsid w:val="00A207C3"/>
    <w:rsid w:val="00A32E4D"/>
    <w:rsid w:val="00A67E41"/>
    <w:rsid w:val="00A7616D"/>
    <w:rsid w:val="00A87980"/>
    <w:rsid w:val="00AB1009"/>
    <w:rsid w:val="00AB111A"/>
    <w:rsid w:val="00AC1CB6"/>
    <w:rsid w:val="00AC308D"/>
    <w:rsid w:val="00AC4C50"/>
    <w:rsid w:val="00AC7E2D"/>
    <w:rsid w:val="00AD28D0"/>
    <w:rsid w:val="00AE1360"/>
    <w:rsid w:val="00AE50B1"/>
    <w:rsid w:val="00AF5260"/>
    <w:rsid w:val="00B04BB5"/>
    <w:rsid w:val="00B41B1A"/>
    <w:rsid w:val="00B5576D"/>
    <w:rsid w:val="00B60275"/>
    <w:rsid w:val="00B73025"/>
    <w:rsid w:val="00B9317A"/>
    <w:rsid w:val="00BA52FF"/>
    <w:rsid w:val="00BA6EBF"/>
    <w:rsid w:val="00BC533F"/>
    <w:rsid w:val="00BC7810"/>
    <w:rsid w:val="00BD0CC3"/>
    <w:rsid w:val="00BD1CC5"/>
    <w:rsid w:val="00BD453F"/>
    <w:rsid w:val="00BD5244"/>
    <w:rsid w:val="00BD6031"/>
    <w:rsid w:val="00BE2E36"/>
    <w:rsid w:val="00BE4BD9"/>
    <w:rsid w:val="00BE7179"/>
    <w:rsid w:val="00BF3E75"/>
    <w:rsid w:val="00BF6767"/>
    <w:rsid w:val="00C0024E"/>
    <w:rsid w:val="00C12BC5"/>
    <w:rsid w:val="00C22A5C"/>
    <w:rsid w:val="00C24FE5"/>
    <w:rsid w:val="00C372C9"/>
    <w:rsid w:val="00C44909"/>
    <w:rsid w:val="00C46531"/>
    <w:rsid w:val="00C83CF5"/>
    <w:rsid w:val="00C879F6"/>
    <w:rsid w:val="00C9682F"/>
    <w:rsid w:val="00CB13D1"/>
    <w:rsid w:val="00CB5F55"/>
    <w:rsid w:val="00CD20E7"/>
    <w:rsid w:val="00CE14FA"/>
    <w:rsid w:val="00CE672A"/>
    <w:rsid w:val="00CF5D23"/>
    <w:rsid w:val="00CF6C6D"/>
    <w:rsid w:val="00CF7ACF"/>
    <w:rsid w:val="00D0036D"/>
    <w:rsid w:val="00D06E4B"/>
    <w:rsid w:val="00D103C3"/>
    <w:rsid w:val="00D209D0"/>
    <w:rsid w:val="00D22BDB"/>
    <w:rsid w:val="00D22F16"/>
    <w:rsid w:val="00D30DB5"/>
    <w:rsid w:val="00D325DA"/>
    <w:rsid w:val="00D33025"/>
    <w:rsid w:val="00D368BC"/>
    <w:rsid w:val="00D550B6"/>
    <w:rsid w:val="00D57F5E"/>
    <w:rsid w:val="00D60348"/>
    <w:rsid w:val="00D60990"/>
    <w:rsid w:val="00D74996"/>
    <w:rsid w:val="00D81721"/>
    <w:rsid w:val="00DB3E7B"/>
    <w:rsid w:val="00DB46A9"/>
    <w:rsid w:val="00DC086F"/>
    <w:rsid w:val="00DC3362"/>
    <w:rsid w:val="00DD61D4"/>
    <w:rsid w:val="00DD7857"/>
    <w:rsid w:val="00DE5A3E"/>
    <w:rsid w:val="00DF0A2A"/>
    <w:rsid w:val="00DF79AA"/>
    <w:rsid w:val="00E01967"/>
    <w:rsid w:val="00E11A24"/>
    <w:rsid w:val="00E16F88"/>
    <w:rsid w:val="00E25874"/>
    <w:rsid w:val="00E360A3"/>
    <w:rsid w:val="00E514AD"/>
    <w:rsid w:val="00E66A99"/>
    <w:rsid w:val="00E706B8"/>
    <w:rsid w:val="00E722BE"/>
    <w:rsid w:val="00E75115"/>
    <w:rsid w:val="00E76D2A"/>
    <w:rsid w:val="00E92208"/>
    <w:rsid w:val="00EA290E"/>
    <w:rsid w:val="00EA3F37"/>
    <w:rsid w:val="00EA5F08"/>
    <w:rsid w:val="00EA7F36"/>
    <w:rsid w:val="00EB0673"/>
    <w:rsid w:val="00EB1C21"/>
    <w:rsid w:val="00EC76DE"/>
    <w:rsid w:val="00ED6296"/>
    <w:rsid w:val="00EE1390"/>
    <w:rsid w:val="00EF6B1F"/>
    <w:rsid w:val="00F0357A"/>
    <w:rsid w:val="00F04797"/>
    <w:rsid w:val="00F05CBD"/>
    <w:rsid w:val="00F06174"/>
    <w:rsid w:val="00F070BA"/>
    <w:rsid w:val="00F10170"/>
    <w:rsid w:val="00F119B0"/>
    <w:rsid w:val="00F53088"/>
    <w:rsid w:val="00F55771"/>
    <w:rsid w:val="00F64F43"/>
    <w:rsid w:val="00F72949"/>
    <w:rsid w:val="00F77A94"/>
    <w:rsid w:val="00F90124"/>
    <w:rsid w:val="00FA44FE"/>
    <w:rsid w:val="00FA5718"/>
    <w:rsid w:val="00FA614E"/>
    <w:rsid w:val="00FE4C9C"/>
    <w:rsid w:val="00FE5BBF"/>
    <w:rsid w:val="00FF1250"/>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character" w:styleId="UnresolvedMention">
    <w:name w:val="Unresolved Mention"/>
    <w:basedOn w:val="DefaultParagraphFont"/>
    <w:uiPriority w:val="99"/>
    <w:semiHidden/>
    <w:unhideWhenUsed/>
    <w:rsid w:val="00CE14FA"/>
    <w:rPr>
      <w:color w:val="605E5C"/>
      <w:shd w:val="clear" w:color="auto" w:fill="E1DFDD"/>
    </w:rPr>
  </w:style>
  <w:style w:type="paragraph" w:styleId="Header">
    <w:name w:val="header"/>
    <w:basedOn w:val="Normal"/>
    <w:link w:val="HeaderChar"/>
    <w:uiPriority w:val="99"/>
    <w:unhideWhenUsed/>
    <w:rsid w:val="00430901"/>
    <w:pPr>
      <w:tabs>
        <w:tab w:val="center" w:pos="4680"/>
        <w:tab w:val="right" w:pos="9360"/>
      </w:tabs>
    </w:pPr>
  </w:style>
  <w:style w:type="character" w:customStyle="1" w:styleId="HeaderChar">
    <w:name w:val="Header Char"/>
    <w:basedOn w:val="DefaultParagraphFont"/>
    <w:link w:val="Header"/>
    <w:uiPriority w:val="99"/>
    <w:rsid w:val="00430901"/>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430901"/>
    <w:pPr>
      <w:tabs>
        <w:tab w:val="center" w:pos="4680"/>
        <w:tab w:val="right" w:pos="9360"/>
      </w:tabs>
    </w:pPr>
  </w:style>
  <w:style w:type="character" w:customStyle="1" w:styleId="FooterChar">
    <w:name w:val="Footer Char"/>
    <w:basedOn w:val="DefaultParagraphFont"/>
    <w:link w:val="Footer"/>
    <w:uiPriority w:val="99"/>
    <w:rsid w:val="00430901"/>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927E-29B4-4B67-BE06-6C0D023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1157</Words>
  <Characters>6600</Characters>
  <Application>Microsoft Office Word</Application>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admin</cp:lastModifiedBy>
  <cp:revision>106</cp:revision>
  <cp:lastPrinted>2026-05-11T01:35:00Z</cp:lastPrinted>
  <dcterms:created xsi:type="dcterms:W3CDTF">2026-05-26T08:19:00Z</dcterms:created>
  <dcterms:modified xsi:type="dcterms:W3CDTF">2026-05-27T07:13:00Z</dcterms:modified>
</cp:coreProperties>
</file>