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Ind w:w="-172" w:type="dxa"/>
        <w:tblLook w:val="01E0" w:firstRow="1" w:lastRow="1" w:firstColumn="1" w:lastColumn="1" w:noHBand="0" w:noVBand="0"/>
      </w:tblPr>
      <w:tblGrid>
        <w:gridCol w:w="4200"/>
        <w:gridCol w:w="5740"/>
      </w:tblGrid>
      <w:tr w:rsidR="00A3565D" w:rsidRPr="00CC5500" w14:paraId="17984570" w14:textId="77777777" w:rsidTr="0059064F">
        <w:tc>
          <w:tcPr>
            <w:tcW w:w="4200" w:type="dxa"/>
          </w:tcPr>
          <w:p w14:paraId="2A09ED59" w14:textId="77777777" w:rsidR="00A3565D" w:rsidRPr="00CC5500" w:rsidRDefault="00A3565D" w:rsidP="0059064F">
            <w:pPr>
              <w:jc w:val="center"/>
              <w:rPr>
                <w:sz w:val="26"/>
                <w:szCs w:val="26"/>
              </w:rPr>
            </w:pPr>
            <w:bookmarkStart w:id="0" w:name="loai_2"/>
            <w:r w:rsidRPr="00CC5500">
              <w:rPr>
                <w:sz w:val="26"/>
                <w:szCs w:val="26"/>
              </w:rPr>
              <w:t xml:space="preserve">UBND </w:t>
            </w:r>
            <w:r>
              <w:rPr>
                <w:sz w:val="26"/>
                <w:szCs w:val="26"/>
              </w:rPr>
              <w:t>THÀNH PHỐ</w:t>
            </w:r>
            <w:r w:rsidRPr="00CC5500">
              <w:rPr>
                <w:sz w:val="26"/>
                <w:szCs w:val="26"/>
              </w:rPr>
              <w:t xml:space="preserve"> ĐỒNG NAI</w:t>
            </w:r>
          </w:p>
          <w:p w14:paraId="59E33CF5" w14:textId="77777777" w:rsidR="00A3565D" w:rsidRPr="00CC5500" w:rsidRDefault="00A3565D" w:rsidP="0059064F">
            <w:pPr>
              <w:jc w:val="center"/>
              <w:rPr>
                <w:b/>
                <w:sz w:val="26"/>
                <w:szCs w:val="26"/>
              </w:rPr>
            </w:pPr>
            <w:r w:rsidRPr="00CC5500">
              <w:rPr>
                <w:b/>
                <w:sz w:val="26"/>
                <w:szCs w:val="26"/>
              </w:rPr>
              <w:t>SỞ KHOA HỌC VÀ CÔNG NGHỆ</w:t>
            </w:r>
          </w:p>
          <w:p w14:paraId="7DA663BC" w14:textId="77777777" w:rsidR="00A3565D" w:rsidRPr="00CC5500" w:rsidRDefault="00A3565D" w:rsidP="0059064F">
            <w:pPr>
              <w:jc w:val="center"/>
              <w:rPr>
                <w:b/>
                <w:sz w:val="26"/>
                <w:szCs w:val="26"/>
              </w:rPr>
            </w:pPr>
            <w:r w:rsidRPr="00CC5500">
              <w:rPr>
                <w:noProof/>
              </w:rPr>
              <mc:AlternateContent>
                <mc:Choice Requires="wps">
                  <w:drawing>
                    <wp:anchor distT="4294967293" distB="4294967293" distL="114300" distR="114300" simplePos="0" relativeHeight="251659264" behindDoc="0" locked="0" layoutInCell="1" allowOverlap="1" wp14:anchorId="47AC9841" wp14:editId="4359C2CA">
                      <wp:simplePos x="0" y="0"/>
                      <wp:positionH relativeFrom="column">
                        <wp:posOffset>731520</wp:posOffset>
                      </wp:positionH>
                      <wp:positionV relativeFrom="paragraph">
                        <wp:posOffset>62229</wp:posOffset>
                      </wp:positionV>
                      <wp:extent cx="1066800" cy="0"/>
                      <wp:effectExtent l="0" t="0" r="1905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81249B"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6pt,4.9pt" to="141.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">
                      <o:lock v:ext="edit" shapetype="f"/>
                    </v:line>
                  </w:pict>
                </mc:Fallback>
              </mc:AlternateContent>
            </w:r>
          </w:p>
          <w:p w14:paraId="734D103D" w14:textId="77777777" w:rsidR="00A3565D" w:rsidRPr="00CC5500" w:rsidRDefault="00A3565D" w:rsidP="0059064F">
            <w:pPr>
              <w:jc w:val="center"/>
              <w:rPr>
                <w:b/>
                <w:sz w:val="26"/>
                <w:szCs w:val="26"/>
              </w:rPr>
            </w:pPr>
            <w:r w:rsidRPr="00CC5500">
              <w:rPr>
                <w:sz w:val="26"/>
                <w:szCs w:val="26"/>
              </w:rPr>
              <w:t>Số:       /BC-SKHCN</w:t>
            </w:r>
          </w:p>
          <w:p w14:paraId="6E74F88E" w14:textId="77777777" w:rsidR="00A3565D" w:rsidRPr="00CC5500" w:rsidRDefault="00A3565D" w:rsidP="0059064F">
            <w:pPr>
              <w:jc w:val="center"/>
              <w:rPr>
                <w:sz w:val="26"/>
                <w:szCs w:val="26"/>
              </w:rPr>
            </w:pPr>
          </w:p>
        </w:tc>
        <w:tc>
          <w:tcPr>
            <w:tcW w:w="5740" w:type="dxa"/>
          </w:tcPr>
          <w:p w14:paraId="18705E4B" w14:textId="77777777" w:rsidR="00A3565D" w:rsidRPr="00CC5500" w:rsidRDefault="00A3565D" w:rsidP="0059064F">
            <w:pPr>
              <w:jc w:val="center"/>
              <w:rPr>
                <w:b/>
                <w:sz w:val="26"/>
                <w:szCs w:val="26"/>
              </w:rPr>
            </w:pPr>
            <w:r w:rsidRPr="00CC5500">
              <w:rPr>
                <w:b/>
                <w:sz w:val="26"/>
                <w:szCs w:val="26"/>
              </w:rPr>
              <w:t>CỘNG HÒA XÃ HỘI CHỦ NGHĨA VIỆT NAM</w:t>
            </w:r>
          </w:p>
          <w:p w14:paraId="29DE1CB8" w14:textId="77777777" w:rsidR="00A3565D" w:rsidRPr="00CC5500" w:rsidRDefault="00A3565D" w:rsidP="0059064F">
            <w:pPr>
              <w:jc w:val="center"/>
              <w:rPr>
                <w:b/>
              </w:rPr>
            </w:pPr>
            <w:r w:rsidRPr="00CC5500">
              <w:rPr>
                <w:b/>
              </w:rPr>
              <w:t>Độc lập - Tự do - Hạnh phúc</w:t>
            </w:r>
          </w:p>
          <w:p w14:paraId="49007E88" w14:textId="77777777" w:rsidR="00A3565D" w:rsidRPr="00CC5500" w:rsidRDefault="00A3565D" w:rsidP="0059064F">
            <w:pPr>
              <w:jc w:val="center"/>
              <w:rPr>
                <w:b/>
              </w:rPr>
            </w:pPr>
            <w:r w:rsidRPr="00CC5500">
              <w:rPr>
                <w:noProof/>
              </w:rPr>
              <mc:AlternateContent>
                <mc:Choice Requires="wps">
                  <w:drawing>
                    <wp:anchor distT="4294967293" distB="4294967293" distL="114300" distR="114300" simplePos="0" relativeHeight="251660288" behindDoc="0" locked="0" layoutInCell="1" allowOverlap="1" wp14:anchorId="65929CAB" wp14:editId="44912B6E">
                      <wp:simplePos x="0" y="0"/>
                      <wp:positionH relativeFrom="column">
                        <wp:posOffset>666588</wp:posOffset>
                      </wp:positionH>
                      <wp:positionV relativeFrom="paragraph">
                        <wp:posOffset>45085</wp:posOffset>
                      </wp:positionV>
                      <wp:extent cx="2197289"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7289"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92F690" id="Line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3.55pt" to="22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">
                      <o:lock v:ext="edit" shapetype="f"/>
                    </v:line>
                  </w:pict>
                </mc:Fallback>
              </mc:AlternateContent>
            </w:r>
          </w:p>
          <w:p w14:paraId="33031062" w14:textId="77777777" w:rsidR="00A3565D" w:rsidRPr="009412BD" w:rsidRDefault="00A3565D" w:rsidP="0059064F">
            <w:pPr>
              <w:jc w:val="center"/>
              <w:rPr>
                <w:b/>
              </w:rPr>
            </w:pPr>
            <w:r w:rsidRPr="00CC5500">
              <w:rPr>
                <w:i/>
              </w:rPr>
              <w:t>Đồng Nai, ngày     tháng     năm 202</w:t>
            </w:r>
            <w:r>
              <w:rPr>
                <w:i/>
              </w:rPr>
              <w:t>6</w:t>
            </w:r>
          </w:p>
        </w:tc>
      </w:tr>
    </w:tbl>
    <w:bookmarkEnd w:id="0"/>
    <w:p w14:paraId="1A969F49" w14:textId="77777777" w:rsidR="00FD62B8" w:rsidRPr="00C05A4C" w:rsidRDefault="00FD62B8" w:rsidP="00FD62B8">
      <w:pPr>
        <w:jc w:val="center"/>
        <w:rPr>
          <w:b/>
        </w:rPr>
      </w:pPr>
      <w:r w:rsidRPr="00C05A4C">
        <w:rPr>
          <w:b/>
        </w:rPr>
        <w:t>BÁO CÁO</w:t>
      </w:r>
    </w:p>
    <w:p w14:paraId="2A2B101A" w14:textId="02E363A7" w:rsidR="007B150D" w:rsidRPr="00C05A4C" w:rsidRDefault="008C3848" w:rsidP="00A31864">
      <w:pPr>
        <w:jc w:val="center"/>
      </w:pPr>
      <w:r w:rsidRPr="00C05A4C">
        <w:rPr>
          <w:b/>
        </w:rPr>
        <w:t>Tổng</w:t>
      </w:r>
      <w:r w:rsidRPr="00C05A4C">
        <w:rPr>
          <w:b/>
          <w:lang w:val="vi-VN"/>
        </w:rPr>
        <w:t xml:space="preserve"> hợp ý kiến, tiếp thu, giải trình đối với dự thảo </w:t>
      </w:r>
      <w:r w:rsidR="00A31864" w:rsidRPr="00C05A4C">
        <w:rPr>
          <w:b/>
          <w:lang w:val="vi-VN"/>
        </w:rPr>
        <w:t xml:space="preserve">Quyết định phân cấp thẩm quyền quản lý nhiệm vụ khoa học, </w:t>
      </w:r>
      <w:r w:rsidR="00A31864" w:rsidRPr="00C05A4C">
        <w:rPr>
          <w:b/>
        </w:rPr>
        <w:t xml:space="preserve"> </w:t>
      </w:r>
      <w:r w:rsidR="00A31864" w:rsidRPr="00C05A4C">
        <w:rPr>
          <w:b/>
          <w:lang w:val="vi-VN"/>
        </w:rPr>
        <w:t>công nghệ và đổi mới sáng tạo trên địa bàn tỉnh Đồng Nai</w:t>
      </w:r>
    </w:p>
    <w:p w14:paraId="6DF9E20F" w14:textId="77777777" w:rsidR="00C05A4C" w:rsidRPr="00C05A4C" w:rsidRDefault="0049563C" w:rsidP="00C05A4C">
      <w:pPr>
        <w:spacing w:before="120" w:line="288" w:lineRule="auto"/>
        <w:ind w:firstLine="709"/>
        <w:jc w:val="both"/>
      </w:pPr>
      <w:r w:rsidRPr="00C05A4C">
        <w:t>Thực hiện quy định của Luật Ban hành văn bản quy phạm pháp luật số 64/2025/QH15 được sửa đổi, bổ sung bởi Luật số 87/2025/QH15</w:t>
      </w:r>
      <w:r w:rsidR="00BB5697" w:rsidRPr="00C05A4C">
        <w:rPr>
          <w:lang w:val="vi-VN"/>
        </w:rPr>
        <w:t xml:space="preserve">, </w:t>
      </w:r>
      <w:r w:rsidR="00DF6F1A" w:rsidRPr="00C05A4C">
        <w:t>Sở Khoa học và Công nghệ (</w:t>
      </w:r>
      <w:r w:rsidR="00BB5697" w:rsidRPr="00C05A4C">
        <w:rPr>
          <w:lang w:val="vi-VN"/>
        </w:rPr>
        <w:t>cơ qua</w:t>
      </w:r>
      <w:r w:rsidR="00557195" w:rsidRPr="00C05A4C">
        <w:t>n</w:t>
      </w:r>
      <w:r w:rsidR="00BB5697" w:rsidRPr="00C05A4C">
        <w:rPr>
          <w:lang w:val="vi-VN"/>
        </w:rPr>
        <w:t xml:space="preserve"> chủ trì soạn thảo</w:t>
      </w:r>
      <w:r w:rsidR="00C05A4C" w:rsidRPr="00C05A4C">
        <w:t>)</w:t>
      </w:r>
      <w:r w:rsidR="00BB5697" w:rsidRPr="00C05A4C">
        <w:rPr>
          <w:lang w:val="vi-VN"/>
        </w:rPr>
        <w:t xml:space="preserve"> </w:t>
      </w:r>
      <w:r w:rsidR="00C05A4C" w:rsidRPr="00C05A4C">
        <w:rPr>
          <w:lang w:val="vi-VN"/>
        </w:rPr>
        <w:t xml:space="preserve">đã tổ chức lấy ý kiến rộng rãi đối với dự thảo Quyết định và Tờ trình về việc phân cấp thẩm quyền quản lý nhiệm vụ khoa học, công nghệ và đổi mới sáng tạo trên địa bàn thành phố.  </w:t>
      </w:r>
    </w:p>
    <w:p w14:paraId="63D4BEDA" w14:textId="77777777" w:rsidR="00C05A4C" w:rsidRPr="00C05A4C" w:rsidRDefault="00C05A4C" w:rsidP="00C05A4C">
      <w:pPr>
        <w:spacing w:before="120" w:line="288" w:lineRule="auto"/>
        <w:ind w:firstLine="709"/>
        <w:jc w:val="both"/>
      </w:pPr>
      <w:r w:rsidRPr="00C05A4C">
        <w:rPr>
          <w:lang w:val="vi-VN"/>
        </w:rPr>
        <w:t>1. Công tác tổ chức lấy ý kiến:</w:t>
      </w:r>
      <w:r w:rsidRPr="00C05A4C">
        <w:t xml:space="preserve"> </w:t>
      </w:r>
      <w:r w:rsidRPr="00C05A4C">
        <w:rPr>
          <w:lang w:val="vi-VN"/>
        </w:rPr>
        <w:t xml:space="preserve">Gửi văn bản lấy ý kiến trực tiếp các Sở, ban, ngành, Ủy ban nhân dân cấp xã và Ủy ban MTTQ Việt Nam thành phố.  </w:t>
      </w:r>
    </w:p>
    <w:p w14:paraId="45D55174" w14:textId="77777777" w:rsidR="00C05A4C" w:rsidRPr="00C05A4C" w:rsidRDefault="00C05A4C" w:rsidP="00C05A4C">
      <w:pPr>
        <w:spacing w:before="120" w:line="288" w:lineRule="auto"/>
        <w:ind w:firstLine="709"/>
        <w:jc w:val="both"/>
      </w:pPr>
      <w:r w:rsidRPr="00C05A4C">
        <w:t xml:space="preserve">2. </w:t>
      </w:r>
      <w:r w:rsidRPr="00C05A4C">
        <w:rPr>
          <w:lang w:val="vi-VN"/>
        </w:rPr>
        <w:t xml:space="preserve">Đăng tải toàn văn dự thảo trên Cổng thông tin điện tử thành phố để lấy ý kiến Nhân dân.  </w:t>
      </w:r>
    </w:p>
    <w:p w14:paraId="3413C185" w14:textId="476F51F5" w:rsidR="00C05A4C" w:rsidRPr="00C05A4C" w:rsidRDefault="00C05A4C" w:rsidP="00C05A4C">
      <w:pPr>
        <w:spacing w:before="120" w:line="288" w:lineRule="auto"/>
        <w:ind w:firstLine="709"/>
        <w:jc w:val="both"/>
      </w:pPr>
      <w:r w:rsidRPr="00C05A4C">
        <w:t>3</w:t>
      </w:r>
      <w:r w:rsidRPr="00C05A4C">
        <w:rPr>
          <w:lang w:val="vi-VN"/>
        </w:rPr>
        <w:t xml:space="preserve">. Tổng số cơ quan, đơn vị có ý kiến góp ý: 33 đơn vị và các ý kiến từ Nhân dân qua Cổng thông tin điện tử.  </w:t>
      </w:r>
    </w:p>
    <w:p w14:paraId="7A234EB9" w14:textId="5F1486C2" w:rsidR="007A34E6" w:rsidRPr="00C05A4C" w:rsidRDefault="00C05A4C" w:rsidP="00C05A4C">
      <w:pPr>
        <w:spacing w:before="120" w:line="288" w:lineRule="auto"/>
        <w:ind w:firstLine="709"/>
        <w:jc w:val="both"/>
      </w:pPr>
      <w:r w:rsidRPr="00C05A4C">
        <w:t>4</w:t>
      </w:r>
      <w:r w:rsidR="007A34E6" w:rsidRPr="00C05A4C">
        <w:rPr>
          <w:lang w:val="vi-VN"/>
        </w:rPr>
        <w:t xml:space="preserve">. </w:t>
      </w:r>
      <w:r w:rsidRPr="00C05A4C">
        <w:rPr>
          <w:lang w:val="vi-VN"/>
        </w:rPr>
        <w:t>Kết quả tổng hợp, tiếp thu và giải trình cụ thể:</w:t>
      </w:r>
    </w:p>
    <w:tbl>
      <w:tblPr>
        <w:tblStyle w:val="TableGrid"/>
        <w:tblW w:w="0" w:type="auto"/>
        <w:tblLook w:val="04A0" w:firstRow="1" w:lastRow="0" w:firstColumn="1" w:lastColumn="0" w:noHBand="0" w:noVBand="1"/>
      </w:tblPr>
      <w:tblGrid>
        <w:gridCol w:w="2265"/>
        <w:gridCol w:w="2265"/>
        <w:gridCol w:w="2266"/>
        <w:gridCol w:w="2266"/>
      </w:tblGrid>
      <w:tr w:rsidR="00F670D3" w:rsidRPr="00C05A4C" w14:paraId="296DBDE1" w14:textId="77777777" w:rsidTr="00F670D3">
        <w:tc>
          <w:tcPr>
            <w:tcW w:w="2265" w:type="dxa"/>
          </w:tcPr>
          <w:p w14:paraId="4CB4E00B" w14:textId="34F643ED" w:rsidR="00F670D3" w:rsidRPr="00C05A4C" w:rsidRDefault="00F670D3" w:rsidP="00C05A4C">
            <w:pPr>
              <w:spacing w:before="120" w:line="288" w:lineRule="auto"/>
              <w:jc w:val="center"/>
              <w:rPr>
                <w:b/>
                <w:bCs/>
                <w:sz w:val="26"/>
                <w:szCs w:val="26"/>
                <w:lang w:val="vi-VN"/>
              </w:rPr>
            </w:pPr>
            <w:r w:rsidRPr="00C05A4C">
              <w:rPr>
                <w:b/>
                <w:bCs/>
                <w:sz w:val="26"/>
                <w:szCs w:val="26"/>
                <w:lang w:val="vi-VN"/>
              </w:rPr>
              <w:t>CHÍNH SÁCH HOẶC NHÓM VẤN ĐỀ, ĐIỀU KHOẢN</w:t>
            </w:r>
          </w:p>
        </w:tc>
        <w:tc>
          <w:tcPr>
            <w:tcW w:w="2265" w:type="dxa"/>
          </w:tcPr>
          <w:p w14:paraId="5203DB0A" w14:textId="50B6B556" w:rsidR="00F670D3" w:rsidRPr="00C05A4C" w:rsidRDefault="00F670D3" w:rsidP="00C05A4C">
            <w:pPr>
              <w:spacing w:before="120" w:line="288" w:lineRule="auto"/>
              <w:jc w:val="center"/>
              <w:rPr>
                <w:b/>
                <w:bCs/>
                <w:sz w:val="26"/>
                <w:szCs w:val="26"/>
                <w:lang w:val="vi-VN"/>
              </w:rPr>
            </w:pPr>
            <w:r w:rsidRPr="00C05A4C">
              <w:rPr>
                <w:b/>
                <w:bCs/>
                <w:sz w:val="26"/>
                <w:szCs w:val="26"/>
                <w:lang w:val="vi-VN"/>
              </w:rPr>
              <w:t>CHỦ THỂ GÓP Ý/THAM VẤN/PHẢN BIỆN</w:t>
            </w:r>
          </w:p>
        </w:tc>
        <w:tc>
          <w:tcPr>
            <w:tcW w:w="2266" w:type="dxa"/>
          </w:tcPr>
          <w:p w14:paraId="78F6EEB0" w14:textId="05D36BF0" w:rsidR="00F670D3" w:rsidRPr="00C05A4C" w:rsidRDefault="00F670D3" w:rsidP="00C05A4C">
            <w:pPr>
              <w:spacing w:before="120" w:line="288" w:lineRule="auto"/>
              <w:jc w:val="center"/>
              <w:rPr>
                <w:b/>
                <w:bCs/>
                <w:sz w:val="26"/>
                <w:szCs w:val="26"/>
                <w:lang w:val="vi-VN"/>
              </w:rPr>
            </w:pPr>
            <w:r w:rsidRPr="00C05A4C">
              <w:rPr>
                <w:b/>
                <w:bCs/>
                <w:sz w:val="26"/>
                <w:szCs w:val="26"/>
                <w:lang w:val="vi-VN"/>
              </w:rPr>
              <w:t>NỘI DUNG GÓP Ý/THAM VẤN/PHẢN BIỆN</w:t>
            </w:r>
          </w:p>
        </w:tc>
        <w:tc>
          <w:tcPr>
            <w:tcW w:w="2266" w:type="dxa"/>
          </w:tcPr>
          <w:p w14:paraId="342FD0E5" w14:textId="59D9CF4C" w:rsidR="00F670D3" w:rsidRPr="00C05A4C" w:rsidRDefault="001B7887" w:rsidP="00C05A4C">
            <w:pPr>
              <w:spacing w:before="120" w:line="288" w:lineRule="auto"/>
              <w:jc w:val="center"/>
              <w:rPr>
                <w:b/>
                <w:bCs/>
                <w:sz w:val="26"/>
                <w:szCs w:val="26"/>
              </w:rPr>
            </w:pPr>
            <w:r w:rsidRPr="00C05A4C">
              <w:rPr>
                <w:b/>
                <w:bCs/>
                <w:sz w:val="26"/>
                <w:szCs w:val="26"/>
                <w:lang w:val="vi-VN"/>
              </w:rPr>
              <w:t>NỘI DUNG TIẾP THU, GIẢI T</w:t>
            </w:r>
            <w:r w:rsidR="00C8542A" w:rsidRPr="00C05A4C">
              <w:rPr>
                <w:b/>
                <w:bCs/>
                <w:sz w:val="26"/>
                <w:szCs w:val="26"/>
              </w:rPr>
              <w:t>RÌNH</w:t>
            </w:r>
          </w:p>
        </w:tc>
      </w:tr>
      <w:tr w:rsidR="00F670D3" w:rsidRPr="00C05A4C" w14:paraId="2233339E" w14:textId="77777777" w:rsidTr="00F670D3">
        <w:tc>
          <w:tcPr>
            <w:tcW w:w="2265" w:type="dxa"/>
          </w:tcPr>
          <w:p w14:paraId="721A2EA9" w14:textId="36FA2EF2" w:rsidR="00F670D3" w:rsidRPr="00C05A4C" w:rsidRDefault="00B04B55" w:rsidP="009B0810">
            <w:pPr>
              <w:spacing w:before="120" w:line="288" w:lineRule="auto"/>
              <w:jc w:val="both"/>
              <w:rPr>
                <w:sz w:val="26"/>
                <w:szCs w:val="26"/>
              </w:rPr>
            </w:pPr>
            <w:r w:rsidRPr="00C05A4C">
              <w:rPr>
                <w:sz w:val="26"/>
                <w:szCs w:val="26"/>
              </w:rPr>
              <w:t>Sự cần thiết</w:t>
            </w:r>
            <w:r w:rsidR="00017089" w:rsidRPr="00C05A4C">
              <w:rPr>
                <w:sz w:val="26"/>
                <w:szCs w:val="26"/>
              </w:rPr>
              <w:t>, thẩm quyền ban hành</w:t>
            </w:r>
            <w:r w:rsidRPr="00C05A4C">
              <w:rPr>
                <w:sz w:val="26"/>
                <w:szCs w:val="26"/>
              </w:rPr>
              <w:t xml:space="preserve"> và tính pháp lý</w:t>
            </w:r>
          </w:p>
        </w:tc>
        <w:tc>
          <w:tcPr>
            <w:tcW w:w="2265" w:type="dxa"/>
          </w:tcPr>
          <w:p w14:paraId="717D05FF" w14:textId="1CF17F88" w:rsidR="00F670D3" w:rsidRPr="00C05A4C" w:rsidRDefault="00B04B55" w:rsidP="009B0810">
            <w:pPr>
              <w:spacing w:before="120" w:line="288" w:lineRule="auto"/>
              <w:jc w:val="both"/>
              <w:rPr>
                <w:sz w:val="26"/>
                <w:szCs w:val="26"/>
              </w:rPr>
            </w:pPr>
            <w:r w:rsidRPr="00C05A4C">
              <w:rPr>
                <w:sz w:val="26"/>
                <w:szCs w:val="26"/>
              </w:rPr>
              <w:t>Sở Tư pháp, Sở Tài chính,</w:t>
            </w:r>
            <w:r w:rsidR="00017089" w:rsidRPr="00C05A4C">
              <w:rPr>
                <w:sz w:val="26"/>
                <w:szCs w:val="26"/>
              </w:rPr>
              <w:t xml:space="preserve"> phường Bình Phước,</w:t>
            </w:r>
            <w:r w:rsidRPr="00C05A4C">
              <w:rPr>
                <w:sz w:val="26"/>
                <w:szCs w:val="26"/>
              </w:rPr>
              <w:t xml:space="preserve"> MTTQ </w:t>
            </w:r>
            <w:r w:rsidR="00852452" w:rsidRPr="00C05A4C">
              <w:rPr>
                <w:sz w:val="26"/>
                <w:szCs w:val="26"/>
              </w:rPr>
              <w:t xml:space="preserve">Việt Nam </w:t>
            </w:r>
            <w:r w:rsidRPr="00C05A4C">
              <w:rPr>
                <w:sz w:val="26"/>
                <w:szCs w:val="26"/>
              </w:rPr>
              <w:t>tỉnh</w:t>
            </w:r>
            <w:r w:rsidR="00852452" w:rsidRPr="00C05A4C">
              <w:rPr>
                <w:sz w:val="26"/>
                <w:szCs w:val="26"/>
              </w:rPr>
              <w:t xml:space="preserve"> Đồng Nai (cũ)</w:t>
            </w:r>
          </w:p>
        </w:tc>
        <w:tc>
          <w:tcPr>
            <w:tcW w:w="2266" w:type="dxa"/>
          </w:tcPr>
          <w:p w14:paraId="645C0A89" w14:textId="37C43811" w:rsidR="00F670D3" w:rsidRPr="00C05A4C" w:rsidRDefault="00B04B55" w:rsidP="009B0810">
            <w:pPr>
              <w:spacing w:before="120" w:line="288" w:lineRule="auto"/>
              <w:jc w:val="both"/>
              <w:rPr>
                <w:sz w:val="26"/>
                <w:szCs w:val="26"/>
                <w:lang w:val="vi-VN"/>
              </w:rPr>
            </w:pPr>
            <w:r w:rsidRPr="00C05A4C">
              <w:rPr>
                <w:sz w:val="26"/>
                <w:szCs w:val="26"/>
                <w:lang w:val="vi-VN"/>
              </w:rPr>
              <w:t>Thống nhất cao với sự cần thiết ban hành, bố cục và thẩm quyền tham mưu của Sở KH&amp;CN</w:t>
            </w:r>
          </w:p>
        </w:tc>
        <w:tc>
          <w:tcPr>
            <w:tcW w:w="2266" w:type="dxa"/>
          </w:tcPr>
          <w:p w14:paraId="3A0D1032" w14:textId="32769E7B" w:rsidR="00F670D3" w:rsidRPr="00C05A4C" w:rsidRDefault="00B04B55" w:rsidP="009B0810">
            <w:pPr>
              <w:spacing w:before="120" w:line="288" w:lineRule="auto"/>
              <w:jc w:val="both"/>
              <w:rPr>
                <w:sz w:val="26"/>
                <w:szCs w:val="26"/>
              </w:rPr>
            </w:pPr>
            <w:r w:rsidRPr="00C05A4C">
              <w:rPr>
                <w:sz w:val="26"/>
                <w:szCs w:val="26"/>
                <w:lang w:val="vi-VN"/>
              </w:rPr>
              <w:t>Tiếp thu. Giữ nguyên định hướng phân cấp mạnh mẽ cho cơ sở</w:t>
            </w:r>
            <w:r w:rsidRPr="00C05A4C">
              <w:rPr>
                <w:sz w:val="26"/>
                <w:szCs w:val="26"/>
              </w:rPr>
              <w:t>, phù hợp vói chính quyền địa phương 2 cấp và mô hình chính quyền đô thị khi Đồng Nai chính thức thành Thành phố trực thuộc Trung ương</w:t>
            </w:r>
          </w:p>
        </w:tc>
      </w:tr>
      <w:tr w:rsidR="00F670D3" w:rsidRPr="00C05A4C" w14:paraId="5FB13C94" w14:textId="77777777" w:rsidTr="00F670D3">
        <w:tc>
          <w:tcPr>
            <w:tcW w:w="2265" w:type="dxa"/>
          </w:tcPr>
          <w:p w14:paraId="21500BFE" w14:textId="7EAE7147" w:rsidR="00F670D3" w:rsidRPr="00C05A4C" w:rsidRDefault="00B04B55" w:rsidP="009B0810">
            <w:pPr>
              <w:spacing w:before="120" w:line="288" w:lineRule="auto"/>
              <w:jc w:val="both"/>
              <w:rPr>
                <w:sz w:val="26"/>
                <w:szCs w:val="26"/>
                <w:lang w:val="vi-VN"/>
              </w:rPr>
            </w:pPr>
            <w:r w:rsidRPr="00C05A4C">
              <w:rPr>
                <w:sz w:val="26"/>
                <w:szCs w:val="26"/>
                <w:lang w:val="vi-VN"/>
              </w:rPr>
              <w:t>Căn cứ ban hành (Dự thảo Quyết định)</w:t>
            </w:r>
          </w:p>
        </w:tc>
        <w:tc>
          <w:tcPr>
            <w:tcW w:w="2265" w:type="dxa"/>
          </w:tcPr>
          <w:p w14:paraId="16E8CFB7" w14:textId="0DCCEC63" w:rsidR="00F670D3" w:rsidRPr="00C05A4C" w:rsidRDefault="00B04B55" w:rsidP="009B0810">
            <w:pPr>
              <w:spacing w:before="120" w:line="288" w:lineRule="auto"/>
              <w:jc w:val="both"/>
              <w:rPr>
                <w:sz w:val="26"/>
                <w:szCs w:val="26"/>
                <w:lang w:val="vi-VN"/>
              </w:rPr>
            </w:pPr>
            <w:r w:rsidRPr="00C05A4C">
              <w:rPr>
                <w:sz w:val="26"/>
                <w:szCs w:val="26"/>
                <w:lang w:val="vi-VN"/>
              </w:rPr>
              <w:t>Sở Tư pháp, Phường Phước Bình</w:t>
            </w:r>
          </w:p>
        </w:tc>
        <w:tc>
          <w:tcPr>
            <w:tcW w:w="2266" w:type="dxa"/>
          </w:tcPr>
          <w:p w14:paraId="7C755B0C" w14:textId="06697DBE" w:rsidR="00F670D3" w:rsidRPr="00C05A4C" w:rsidRDefault="00B04B55" w:rsidP="00B04B55">
            <w:pPr>
              <w:spacing w:before="120" w:line="288" w:lineRule="auto"/>
              <w:jc w:val="both"/>
              <w:rPr>
                <w:sz w:val="26"/>
                <w:szCs w:val="26"/>
              </w:rPr>
            </w:pPr>
            <w:r w:rsidRPr="00C05A4C">
              <w:rPr>
                <w:sz w:val="26"/>
                <w:szCs w:val="26"/>
                <w:lang w:val="vi-VN"/>
              </w:rPr>
              <w:t xml:space="preserve">Đề nghị bổ sung Nghị định số 187/2025/NĐ-CP; </w:t>
            </w:r>
            <w:r w:rsidRPr="00C05A4C">
              <w:rPr>
                <w:sz w:val="26"/>
                <w:szCs w:val="26"/>
                <w:lang w:val="vi-VN"/>
              </w:rPr>
              <w:lastRenderedPageBreak/>
              <w:t>điều chỉnh tên Nghị định số 150/2025/NĐ-CP cho đúng tên gọi mới. Đề nghị không dùng Nghị quyết số 04/NQ-CP làm căn cứ trực tiếp trong Quyết định</w:t>
            </w:r>
          </w:p>
        </w:tc>
        <w:tc>
          <w:tcPr>
            <w:tcW w:w="2266" w:type="dxa"/>
          </w:tcPr>
          <w:p w14:paraId="3D32C4B6" w14:textId="21816DCC" w:rsidR="00F670D3" w:rsidRPr="00C05A4C" w:rsidRDefault="00B04B55" w:rsidP="009B0810">
            <w:pPr>
              <w:spacing w:before="120" w:line="288" w:lineRule="auto"/>
              <w:jc w:val="both"/>
              <w:rPr>
                <w:sz w:val="26"/>
                <w:szCs w:val="26"/>
                <w:lang w:val="vi-VN"/>
              </w:rPr>
            </w:pPr>
            <w:r w:rsidRPr="00C05A4C">
              <w:rPr>
                <w:sz w:val="26"/>
                <w:szCs w:val="26"/>
                <w:lang w:val="vi-VN"/>
              </w:rPr>
              <w:lastRenderedPageBreak/>
              <w:t xml:space="preserve">Tiếp thu. Đã cập nhật đầy đủ các căn cứ pháp lý mới nhất </w:t>
            </w:r>
            <w:r w:rsidRPr="00C05A4C">
              <w:rPr>
                <w:sz w:val="26"/>
                <w:szCs w:val="26"/>
                <w:lang w:val="vi-VN"/>
              </w:rPr>
              <w:lastRenderedPageBreak/>
              <w:t>và loại bỏ Nghị quyết 04/NQ-CP khỏi phần căn cứ của Quyết định (chỉ giữ lại ở Tờ trình)</w:t>
            </w:r>
          </w:p>
        </w:tc>
      </w:tr>
      <w:tr w:rsidR="00F670D3" w:rsidRPr="00C05A4C" w14:paraId="37131003" w14:textId="77777777" w:rsidTr="00F670D3">
        <w:tc>
          <w:tcPr>
            <w:tcW w:w="2265" w:type="dxa"/>
          </w:tcPr>
          <w:p w14:paraId="2D6DD807" w14:textId="2EF512CB" w:rsidR="00F670D3" w:rsidRPr="00C05A4C" w:rsidRDefault="00B04B55" w:rsidP="009B0810">
            <w:pPr>
              <w:spacing w:before="120" w:line="288" w:lineRule="auto"/>
              <w:jc w:val="both"/>
              <w:rPr>
                <w:sz w:val="26"/>
                <w:szCs w:val="26"/>
                <w:lang w:val="vi-VN"/>
              </w:rPr>
            </w:pPr>
            <w:r w:rsidRPr="00C05A4C">
              <w:rPr>
                <w:sz w:val="26"/>
                <w:szCs w:val="26"/>
                <w:lang w:val="vi-VN"/>
              </w:rPr>
              <w:lastRenderedPageBreak/>
              <w:t>Cơ sở thực tiễn (Dự thảo Tờ trình)</w:t>
            </w:r>
          </w:p>
        </w:tc>
        <w:tc>
          <w:tcPr>
            <w:tcW w:w="2265" w:type="dxa"/>
          </w:tcPr>
          <w:p w14:paraId="6A054B59" w14:textId="3CA39591" w:rsidR="00F670D3" w:rsidRPr="00C05A4C" w:rsidRDefault="00B04B55" w:rsidP="009B0810">
            <w:pPr>
              <w:spacing w:before="120" w:line="288" w:lineRule="auto"/>
              <w:jc w:val="both"/>
              <w:rPr>
                <w:sz w:val="26"/>
                <w:szCs w:val="26"/>
                <w:lang w:val="vi-VN"/>
              </w:rPr>
            </w:pPr>
            <w:r w:rsidRPr="00C05A4C">
              <w:rPr>
                <w:sz w:val="26"/>
                <w:szCs w:val="26"/>
                <w:lang w:val="vi-VN"/>
              </w:rPr>
              <w:t>Sở Nội vụ</w:t>
            </w:r>
          </w:p>
        </w:tc>
        <w:tc>
          <w:tcPr>
            <w:tcW w:w="2266" w:type="dxa"/>
          </w:tcPr>
          <w:p w14:paraId="6828881F" w14:textId="7079776F" w:rsidR="00F670D3" w:rsidRPr="00C05A4C" w:rsidRDefault="00B04B55" w:rsidP="009B0810">
            <w:pPr>
              <w:spacing w:before="120" w:line="288" w:lineRule="auto"/>
              <w:jc w:val="both"/>
              <w:rPr>
                <w:sz w:val="26"/>
                <w:szCs w:val="26"/>
                <w:lang w:val="vi-VN"/>
              </w:rPr>
            </w:pPr>
            <w:r w:rsidRPr="00C05A4C">
              <w:rPr>
                <w:sz w:val="26"/>
                <w:szCs w:val="26"/>
                <w:lang w:val="vi-VN"/>
              </w:rPr>
              <w:t>Đề nghị bổ sung thực trạng quản lý theo cơ chế "ủy quyền" hiện nay, làm rõ các khó khăn, vướng mắc, chồng chéo để làm nổi bật nhu cầu chuyển sang "phân cấp"</w:t>
            </w:r>
          </w:p>
        </w:tc>
        <w:tc>
          <w:tcPr>
            <w:tcW w:w="2266" w:type="dxa"/>
          </w:tcPr>
          <w:p w14:paraId="067B65EE" w14:textId="75D9A522" w:rsidR="00DF6F1A" w:rsidRPr="00C05A4C" w:rsidRDefault="00B04B55" w:rsidP="00DF6F1A">
            <w:pPr>
              <w:spacing w:before="120" w:after="120"/>
              <w:ind w:firstLine="561"/>
              <w:jc w:val="both"/>
              <w:rPr>
                <w:i/>
                <w:iCs/>
                <w:sz w:val="26"/>
                <w:szCs w:val="26"/>
              </w:rPr>
            </w:pPr>
            <w:r w:rsidRPr="00C05A4C">
              <w:rPr>
                <w:sz w:val="26"/>
                <w:szCs w:val="26"/>
                <w:lang w:val="vi-VN"/>
              </w:rPr>
              <w:t>Tiếp thu. Đã bổ sung đánh giá</w:t>
            </w:r>
            <w:r w:rsidR="00C8542A" w:rsidRPr="00C05A4C">
              <w:rPr>
                <w:sz w:val="26"/>
                <w:szCs w:val="26"/>
              </w:rPr>
              <w:t>, kết luận vào phần cuối mục I</w:t>
            </w:r>
            <w:r w:rsidR="00DF6F1A" w:rsidRPr="00C05A4C">
              <w:rPr>
                <w:sz w:val="26"/>
                <w:szCs w:val="26"/>
              </w:rPr>
              <w:t xml:space="preserve"> như sau: </w:t>
            </w:r>
            <w:r w:rsidR="00DF6F1A" w:rsidRPr="00C05A4C">
              <w:rPr>
                <w:i/>
                <w:iCs/>
                <w:sz w:val="26"/>
                <w:szCs w:val="26"/>
              </w:rPr>
              <w:t>“Như vậy, từ các cơ sở pháp lý và thực tiễn nêu trên, việc Sở Khoa học và Công nghệ trình Ủy ban nhân dân thành phố ban hành Quyết định phân cấp thẩm quyền quản lý nhiệm vụ khoa học, công nghệ và đổi mới sáng tạo trên địa bàn thành phố là rất cần và cấp thiết, bởi các lý do chính sau đây:</w:t>
            </w:r>
          </w:p>
          <w:p w14:paraId="47021861" w14:textId="77777777" w:rsidR="00DF6F1A" w:rsidRPr="00C05A4C" w:rsidRDefault="00DF6F1A" w:rsidP="00DF6F1A">
            <w:pPr>
              <w:pStyle w:val="ListParagraph"/>
              <w:spacing w:before="120" w:after="120"/>
              <w:ind w:left="0" w:firstLine="561"/>
              <w:jc w:val="both"/>
              <w:rPr>
                <w:i/>
                <w:iCs/>
                <w:sz w:val="26"/>
                <w:szCs w:val="26"/>
              </w:rPr>
            </w:pPr>
            <w:r w:rsidRPr="00C05A4C">
              <w:rPr>
                <w:i/>
                <w:iCs/>
                <w:sz w:val="26"/>
                <w:szCs w:val="26"/>
              </w:rPr>
              <w:t xml:space="preserve">(1) Một là, đảm bảo tính thống nhất và ổn định của hệ thống pháp luật: Chuyển đổi mô hình quản lý từ "ủy quyền" (mang tính tạm thời, ngắn hạn theo Luật Tổ chức chính quyền địa phương năm 2025) sang cơ chế "phân cấp" (mang tính liên tục, thường xuyên) nhằm thiết lập một hành lang pháp lý ổn định, lâu </w:t>
            </w:r>
            <w:r w:rsidRPr="00C05A4C">
              <w:rPr>
                <w:i/>
                <w:iCs/>
                <w:sz w:val="26"/>
                <w:szCs w:val="26"/>
              </w:rPr>
              <w:lastRenderedPageBreak/>
              <w:t>dài cho hoạt động khoa học, công nghệ và đổi mới sáng tạo.</w:t>
            </w:r>
          </w:p>
          <w:p w14:paraId="366E0E91" w14:textId="77777777" w:rsidR="00DF6F1A" w:rsidRPr="00C05A4C" w:rsidRDefault="00DF6F1A" w:rsidP="00DF6F1A">
            <w:pPr>
              <w:pStyle w:val="ListParagraph"/>
              <w:spacing w:before="120" w:after="120"/>
              <w:ind w:left="0" w:firstLine="561"/>
              <w:jc w:val="both"/>
              <w:rPr>
                <w:i/>
                <w:iCs/>
                <w:sz w:val="26"/>
                <w:szCs w:val="26"/>
              </w:rPr>
            </w:pPr>
            <w:r w:rsidRPr="00C05A4C">
              <w:rPr>
                <w:i/>
                <w:iCs/>
                <w:sz w:val="26"/>
                <w:szCs w:val="26"/>
              </w:rPr>
              <w:t xml:space="preserve">(2) Hai là, cập nhật và đồng bộ các quy định mới: Kịp thời cụ thể hóa các khái niệm và đối tượng quản lý mới về "nhiệm vụ đổi mới sáng tạo" theo Luật Khoa học, Công nghệ và Đổi mới sáng tạo năm 2025 và các Nghị định hướng dẫn của Chính phủ mà cơ chế ủy quyền cũ chưa bao quát hết. </w:t>
            </w:r>
          </w:p>
          <w:p w14:paraId="75FAF196" w14:textId="0335BB4D" w:rsidR="00F670D3" w:rsidRPr="00C05A4C" w:rsidRDefault="00DF6F1A" w:rsidP="009B0810">
            <w:pPr>
              <w:spacing w:before="120" w:line="288" w:lineRule="auto"/>
              <w:jc w:val="both"/>
              <w:rPr>
                <w:sz w:val="26"/>
                <w:szCs w:val="26"/>
              </w:rPr>
            </w:pPr>
            <w:r w:rsidRPr="00C05A4C">
              <w:rPr>
                <w:i/>
                <w:iCs/>
                <w:sz w:val="26"/>
                <w:szCs w:val="26"/>
              </w:rPr>
              <w:t xml:space="preserve">(3) </w:t>
            </w:r>
            <w:r w:rsidR="006607BA" w:rsidRPr="006607BA">
              <w:rPr>
                <w:i/>
                <w:iCs/>
                <w:sz w:val="26"/>
                <w:szCs w:val="26"/>
              </w:rPr>
              <w:t>Ba là, việc đẩy mạnh phân cấp cho Ủy ban nhân dân cấp xã là bước đi đột phá về thể chế quản lý nhà nước nhằm giải quyết các vấn đề về khoa học và công nghệ, vấn đề về đổi mới sáng tạo của sở sở trên địa bàn thành phố Đồng Nai phù hợp với yêu cầu đổi mới tư duy quản lý và mô hình chính quyền đô thị, xứng tầm thành thành phố trực thuộc Trung ương.</w:t>
            </w:r>
          </w:p>
        </w:tc>
      </w:tr>
      <w:tr w:rsidR="005E7B1C" w:rsidRPr="00C05A4C" w14:paraId="2FDE73D0" w14:textId="77777777" w:rsidTr="00F670D3">
        <w:tc>
          <w:tcPr>
            <w:tcW w:w="2265" w:type="dxa"/>
          </w:tcPr>
          <w:p w14:paraId="24CB0580" w14:textId="3B10569E" w:rsidR="005E7B1C" w:rsidRPr="00C05A4C" w:rsidRDefault="00B04B55" w:rsidP="009B0810">
            <w:pPr>
              <w:spacing w:before="120" w:line="288" w:lineRule="auto"/>
              <w:jc w:val="both"/>
              <w:rPr>
                <w:sz w:val="26"/>
                <w:szCs w:val="26"/>
                <w:lang w:val="vi-VN"/>
              </w:rPr>
            </w:pPr>
            <w:r w:rsidRPr="00C05A4C">
              <w:rPr>
                <w:sz w:val="26"/>
                <w:szCs w:val="26"/>
                <w:lang w:val="vi-VN"/>
              </w:rPr>
              <w:lastRenderedPageBreak/>
              <w:t>Phạm vi và Đối tượng (Điều 1, 2)</w:t>
            </w:r>
          </w:p>
        </w:tc>
        <w:tc>
          <w:tcPr>
            <w:tcW w:w="2265" w:type="dxa"/>
          </w:tcPr>
          <w:p w14:paraId="1B9EB66D" w14:textId="49450E13" w:rsidR="005E7B1C" w:rsidRPr="00C05A4C" w:rsidRDefault="00B04B55" w:rsidP="009B0810">
            <w:pPr>
              <w:spacing w:before="120" w:line="288" w:lineRule="auto"/>
              <w:jc w:val="both"/>
              <w:rPr>
                <w:sz w:val="26"/>
                <w:szCs w:val="26"/>
                <w:lang w:val="vi-VN"/>
              </w:rPr>
            </w:pPr>
            <w:r w:rsidRPr="00C05A4C">
              <w:rPr>
                <w:sz w:val="26"/>
                <w:szCs w:val="26"/>
                <w:lang w:val="vi-VN"/>
              </w:rPr>
              <w:t>Sở Tư pháp</w:t>
            </w:r>
          </w:p>
        </w:tc>
        <w:tc>
          <w:tcPr>
            <w:tcW w:w="2266" w:type="dxa"/>
          </w:tcPr>
          <w:p w14:paraId="32C92C8B" w14:textId="66B145DC" w:rsidR="00D94DF9" w:rsidRPr="00C05A4C" w:rsidRDefault="00B04B55" w:rsidP="009B0810">
            <w:pPr>
              <w:spacing w:before="120" w:line="288" w:lineRule="auto"/>
              <w:jc w:val="both"/>
              <w:rPr>
                <w:sz w:val="26"/>
                <w:szCs w:val="26"/>
                <w:lang w:val="vi-VN"/>
              </w:rPr>
            </w:pPr>
            <w:r w:rsidRPr="00C05A4C">
              <w:rPr>
                <w:sz w:val="26"/>
                <w:szCs w:val="26"/>
                <w:lang w:val="vi-VN"/>
              </w:rPr>
              <w:t xml:space="preserve">Đề nghị xác định cụ thể "Cơ quan quản lý nhà nước về KH&amp;CN" là cơ </w:t>
            </w:r>
            <w:r w:rsidRPr="00C05A4C">
              <w:rPr>
                <w:sz w:val="26"/>
                <w:szCs w:val="26"/>
                <w:lang w:val="vi-VN"/>
              </w:rPr>
              <w:lastRenderedPageBreak/>
              <w:t>quan nào; điều chỉnh câu chữ Điều 1 cho gọn</w:t>
            </w:r>
          </w:p>
        </w:tc>
        <w:tc>
          <w:tcPr>
            <w:tcW w:w="2266" w:type="dxa"/>
          </w:tcPr>
          <w:p w14:paraId="6ABEAC22" w14:textId="63D29D7A" w:rsidR="00F26EBD" w:rsidRPr="00C05A4C" w:rsidRDefault="00B04B55" w:rsidP="009B0810">
            <w:pPr>
              <w:spacing w:before="120" w:line="288" w:lineRule="auto"/>
              <w:jc w:val="both"/>
              <w:rPr>
                <w:sz w:val="26"/>
                <w:szCs w:val="26"/>
                <w:lang w:val="vi-VN"/>
              </w:rPr>
            </w:pPr>
            <w:r w:rsidRPr="00C05A4C">
              <w:rPr>
                <w:sz w:val="26"/>
                <w:szCs w:val="26"/>
                <w:lang w:val="vi-VN"/>
              </w:rPr>
              <w:lastRenderedPageBreak/>
              <w:t xml:space="preserve">Tiếp thu. Đã rà soát và điều chỉnh lại khái niệm cơ quan quản lý để đảm bảo </w:t>
            </w:r>
            <w:r w:rsidRPr="00C05A4C">
              <w:rPr>
                <w:sz w:val="26"/>
                <w:szCs w:val="26"/>
                <w:lang w:val="vi-VN"/>
              </w:rPr>
              <w:lastRenderedPageBreak/>
              <w:t>tính chuẩn xác pháp lý</w:t>
            </w:r>
          </w:p>
        </w:tc>
      </w:tr>
      <w:tr w:rsidR="005E7B1C" w:rsidRPr="00C05A4C" w14:paraId="6A6A0220" w14:textId="77777777" w:rsidTr="00F670D3">
        <w:tc>
          <w:tcPr>
            <w:tcW w:w="2265" w:type="dxa"/>
          </w:tcPr>
          <w:p w14:paraId="13778E5B" w14:textId="4563838C" w:rsidR="005E7B1C" w:rsidRPr="00C05A4C" w:rsidRDefault="00B04B55" w:rsidP="009B0810">
            <w:pPr>
              <w:spacing w:before="120" w:line="288" w:lineRule="auto"/>
              <w:jc w:val="both"/>
              <w:rPr>
                <w:sz w:val="26"/>
                <w:szCs w:val="26"/>
                <w:lang w:val="vi-VN"/>
              </w:rPr>
            </w:pPr>
            <w:r w:rsidRPr="00C05A4C">
              <w:rPr>
                <w:sz w:val="26"/>
                <w:szCs w:val="26"/>
                <w:lang w:val="vi-VN"/>
              </w:rPr>
              <w:lastRenderedPageBreak/>
              <w:t>Nội dung phân cấp (Điều 3)</w:t>
            </w:r>
          </w:p>
        </w:tc>
        <w:tc>
          <w:tcPr>
            <w:tcW w:w="2265" w:type="dxa"/>
          </w:tcPr>
          <w:p w14:paraId="6C9CE69D" w14:textId="31B12749" w:rsidR="005E7B1C" w:rsidRPr="00C05A4C" w:rsidRDefault="00B04B55" w:rsidP="009B0810">
            <w:pPr>
              <w:spacing w:before="120" w:line="288" w:lineRule="auto"/>
              <w:jc w:val="both"/>
              <w:rPr>
                <w:sz w:val="26"/>
                <w:szCs w:val="26"/>
                <w:lang w:val="vi-VN"/>
              </w:rPr>
            </w:pPr>
            <w:r w:rsidRPr="00C05A4C">
              <w:rPr>
                <w:sz w:val="26"/>
                <w:szCs w:val="26"/>
                <w:lang w:val="vi-VN"/>
              </w:rPr>
              <w:t>Phường Bình Phước</w:t>
            </w:r>
          </w:p>
        </w:tc>
        <w:tc>
          <w:tcPr>
            <w:tcW w:w="2266" w:type="dxa"/>
          </w:tcPr>
          <w:p w14:paraId="5A47FFA8" w14:textId="69C8AC82" w:rsidR="005E7B1C" w:rsidRPr="00C05A4C" w:rsidRDefault="00DF6F1A" w:rsidP="009B0810">
            <w:pPr>
              <w:spacing w:before="120" w:line="288" w:lineRule="auto"/>
              <w:jc w:val="both"/>
              <w:rPr>
                <w:sz w:val="26"/>
                <w:szCs w:val="26"/>
                <w:lang w:val="vi-VN"/>
              </w:rPr>
            </w:pPr>
            <w:r w:rsidRPr="00C05A4C">
              <w:rPr>
                <w:sz w:val="26"/>
                <w:szCs w:val="26"/>
                <w:lang w:val="vi-VN"/>
              </w:rPr>
              <w:t xml:space="preserve">Làm rõ thẩm quyền quản lý của </w:t>
            </w:r>
            <w:r w:rsidRPr="00C05A4C">
              <w:rPr>
                <w:sz w:val="26"/>
                <w:szCs w:val="26"/>
              </w:rPr>
              <w:t xml:space="preserve">UBND </w:t>
            </w:r>
            <w:r w:rsidRPr="00C05A4C">
              <w:rPr>
                <w:sz w:val="26"/>
                <w:szCs w:val="26"/>
                <w:lang w:val="vi-VN"/>
              </w:rPr>
              <w:t xml:space="preserve">cấp xã là phê duyệt hay chỉ đề xuất; đảm bảo nguồn kinh phí thực hiện.  </w:t>
            </w:r>
          </w:p>
        </w:tc>
        <w:tc>
          <w:tcPr>
            <w:tcW w:w="2266" w:type="dxa"/>
          </w:tcPr>
          <w:p w14:paraId="1727BC28" w14:textId="4DB7E0BC" w:rsidR="005E7B1C" w:rsidRPr="00C05A4C" w:rsidRDefault="00DF6F1A" w:rsidP="009B0810">
            <w:pPr>
              <w:spacing w:before="120" w:line="288" w:lineRule="auto"/>
              <w:jc w:val="both"/>
              <w:rPr>
                <w:sz w:val="26"/>
                <w:szCs w:val="26"/>
              </w:rPr>
            </w:pPr>
            <w:r w:rsidRPr="00C05A4C">
              <w:rPr>
                <w:sz w:val="26"/>
                <w:szCs w:val="26"/>
              </w:rPr>
              <w:t xml:space="preserve">Trên cơ sở phân tích tại dự thảo Tờ trình; dự thảo </w:t>
            </w:r>
            <w:r w:rsidR="001E4DA5" w:rsidRPr="00C05A4C">
              <w:rPr>
                <w:sz w:val="26"/>
                <w:szCs w:val="26"/>
                <w:lang w:val="vi-VN"/>
              </w:rPr>
              <w:t xml:space="preserve">Quyết định khẳng định UBND cấp xã là cơ quan quản lý nhiệm vụ đối với các nhiệm vụ sử dụng ngân sách cấp xã, được trực tiếp phê duyệt và đặt hàng để giải quyết </w:t>
            </w:r>
            <w:r w:rsidRPr="00C05A4C">
              <w:rPr>
                <w:sz w:val="26"/>
                <w:szCs w:val="26"/>
              </w:rPr>
              <w:t>các vấn đề về khoa học và công nghệ, vấn đề về đổi mới sáng tạo</w:t>
            </w:r>
            <w:r w:rsidR="001E4DA5" w:rsidRPr="00C05A4C">
              <w:rPr>
                <w:sz w:val="26"/>
                <w:szCs w:val="26"/>
                <w:lang w:val="vi-VN"/>
              </w:rPr>
              <w:t xml:space="preserve"> tại địa phương</w:t>
            </w:r>
            <w:r w:rsidRPr="00C05A4C">
              <w:rPr>
                <w:sz w:val="26"/>
                <w:szCs w:val="26"/>
              </w:rPr>
              <w:t xml:space="preserve"> mình.</w:t>
            </w:r>
          </w:p>
        </w:tc>
      </w:tr>
      <w:tr w:rsidR="005E7B1C" w:rsidRPr="00C05A4C" w14:paraId="247F79CD" w14:textId="77777777" w:rsidTr="00F670D3">
        <w:tc>
          <w:tcPr>
            <w:tcW w:w="2265" w:type="dxa"/>
          </w:tcPr>
          <w:p w14:paraId="6D59F4B5" w14:textId="56A105AC" w:rsidR="005E7B1C" w:rsidRPr="00C05A4C" w:rsidRDefault="001E4DA5" w:rsidP="009B0810">
            <w:pPr>
              <w:spacing w:before="120" w:line="288" w:lineRule="auto"/>
              <w:jc w:val="both"/>
              <w:rPr>
                <w:sz w:val="26"/>
                <w:szCs w:val="26"/>
                <w:lang w:val="vi-VN"/>
              </w:rPr>
            </w:pPr>
            <w:r w:rsidRPr="00C05A4C">
              <w:rPr>
                <w:sz w:val="26"/>
                <w:szCs w:val="26"/>
                <w:lang w:val="vi-VN"/>
              </w:rPr>
              <w:t>Trách nhiệm thực hiện (Điều 4)</w:t>
            </w:r>
          </w:p>
        </w:tc>
        <w:tc>
          <w:tcPr>
            <w:tcW w:w="2265" w:type="dxa"/>
          </w:tcPr>
          <w:p w14:paraId="2F0DBEF0" w14:textId="0BC1C59D" w:rsidR="005E7B1C" w:rsidRPr="00C05A4C" w:rsidRDefault="001E4DA5" w:rsidP="009B0810">
            <w:pPr>
              <w:spacing w:before="120" w:line="288" w:lineRule="auto"/>
              <w:jc w:val="both"/>
              <w:rPr>
                <w:sz w:val="26"/>
                <w:szCs w:val="26"/>
                <w:lang w:val="vi-VN"/>
              </w:rPr>
            </w:pPr>
            <w:r w:rsidRPr="00C05A4C">
              <w:rPr>
                <w:sz w:val="26"/>
                <w:szCs w:val="26"/>
                <w:lang w:val="vi-VN"/>
              </w:rPr>
              <w:t>Sở Nội vụ, Sở Tư pháp</w:t>
            </w:r>
          </w:p>
        </w:tc>
        <w:tc>
          <w:tcPr>
            <w:tcW w:w="2266" w:type="dxa"/>
          </w:tcPr>
          <w:p w14:paraId="3D62C857" w14:textId="43D88ED5" w:rsidR="005E7B1C" w:rsidRPr="00C05A4C" w:rsidRDefault="001E4DA5" w:rsidP="001E4DA5">
            <w:pPr>
              <w:spacing w:before="120" w:line="288" w:lineRule="auto"/>
              <w:jc w:val="both"/>
              <w:rPr>
                <w:sz w:val="26"/>
                <w:szCs w:val="26"/>
                <w:lang w:val="vi-VN"/>
              </w:rPr>
            </w:pPr>
            <w:r w:rsidRPr="00C05A4C">
              <w:rPr>
                <w:sz w:val="26"/>
                <w:szCs w:val="26"/>
                <w:lang w:val="vi-VN"/>
              </w:rPr>
              <w:t>Đề nghị bổ sung trách nhiệm của Sở KH&amp;CN trong việc kiểm tra, giám sát sau phân cấp. Đổi tên điều thành "Trách nhiệm của các cơ quan, đơn vị"</w:t>
            </w:r>
          </w:p>
        </w:tc>
        <w:tc>
          <w:tcPr>
            <w:tcW w:w="2266" w:type="dxa"/>
          </w:tcPr>
          <w:p w14:paraId="11AC9291" w14:textId="5520107F" w:rsidR="005E7B1C" w:rsidRPr="00C05A4C" w:rsidRDefault="001E4DA5" w:rsidP="009B0810">
            <w:pPr>
              <w:spacing w:before="120" w:line="288" w:lineRule="auto"/>
              <w:jc w:val="both"/>
              <w:rPr>
                <w:sz w:val="26"/>
                <w:szCs w:val="26"/>
                <w:lang w:val="vi-VN"/>
              </w:rPr>
            </w:pPr>
            <w:r w:rsidRPr="00C05A4C">
              <w:rPr>
                <w:sz w:val="26"/>
                <w:szCs w:val="26"/>
                <w:lang w:val="vi-VN"/>
              </w:rPr>
              <w:t>Tiếp thu</w:t>
            </w:r>
            <w:r w:rsidR="00174977" w:rsidRPr="00C05A4C">
              <w:rPr>
                <w:sz w:val="26"/>
                <w:szCs w:val="26"/>
              </w:rPr>
              <w:t>.</w:t>
            </w:r>
            <w:r w:rsidRPr="00C05A4C">
              <w:rPr>
                <w:sz w:val="26"/>
                <w:szCs w:val="26"/>
                <w:lang w:val="vi-VN"/>
              </w:rPr>
              <w:t xml:space="preserve"> Đã bổ sung</w:t>
            </w:r>
            <w:r w:rsidR="00174977" w:rsidRPr="00C05A4C">
              <w:rPr>
                <w:sz w:val="26"/>
                <w:szCs w:val="26"/>
              </w:rPr>
              <w:t>, chỉnh sửa</w:t>
            </w:r>
            <w:r w:rsidRPr="00C05A4C">
              <w:rPr>
                <w:sz w:val="26"/>
                <w:szCs w:val="26"/>
                <w:lang w:val="vi-VN"/>
              </w:rPr>
              <w:t xml:space="preserve"> khoản</w:t>
            </w:r>
            <w:r w:rsidR="00174977" w:rsidRPr="00C05A4C">
              <w:rPr>
                <w:sz w:val="26"/>
                <w:szCs w:val="26"/>
              </w:rPr>
              <w:t xml:space="preserve"> 3 Điều 4.</w:t>
            </w:r>
          </w:p>
        </w:tc>
      </w:tr>
      <w:tr w:rsidR="00FE4A6D" w:rsidRPr="00C05A4C" w14:paraId="3915DC05" w14:textId="77777777" w:rsidTr="00F670D3">
        <w:tc>
          <w:tcPr>
            <w:tcW w:w="2265" w:type="dxa"/>
          </w:tcPr>
          <w:p w14:paraId="5D6272CA" w14:textId="644CBEDE" w:rsidR="00FE4A6D" w:rsidRPr="00C05A4C" w:rsidRDefault="001E4DA5" w:rsidP="009B0810">
            <w:pPr>
              <w:spacing w:before="120" w:line="288" w:lineRule="auto"/>
              <w:jc w:val="both"/>
              <w:rPr>
                <w:sz w:val="26"/>
                <w:szCs w:val="26"/>
                <w:lang w:val="vi-VN"/>
              </w:rPr>
            </w:pPr>
            <w:r w:rsidRPr="00C05A4C">
              <w:rPr>
                <w:sz w:val="26"/>
                <w:szCs w:val="26"/>
                <w:lang w:val="vi-VN"/>
              </w:rPr>
              <w:t>Điều khoản chuyển tiếp (Điều 6)</w:t>
            </w:r>
          </w:p>
        </w:tc>
        <w:tc>
          <w:tcPr>
            <w:tcW w:w="2265" w:type="dxa"/>
          </w:tcPr>
          <w:p w14:paraId="24DA92E4" w14:textId="01E70172" w:rsidR="00FE4A6D" w:rsidRPr="00C05A4C" w:rsidRDefault="001E4DA5" w:rsidP="009B0810">
            <w:pPr>
              <w:spacing w:before="120" w:line="288" w:lineRule="auto"/>
              <w:jc w:val="both"/>
              <w:rPr>
                <w:sz w:val="26"/>
                <w:szCs w:val="26"/>
                <w:lang w:val="vi-VN"/>
              </w:rPr>
            </w:pPr>
            <w:r w:rsidRPr="00C05A4C">
              <w:rPr>
                <w:sz w:val="26"/>
                <w:szCs w:val="26"/>
                <w:lang w:val="vi-VN"/>
              </w:rPr>
              <w:t>Sở Nội vụ, Sở Tư pháp</w:t>
            </w:r>
          </w:p>
        </w:tc>
        <w:tc>
          <w:tcPr>
            <w:tcW w:w="2266" w:type="dxa"/>
          </w:tcPr>
          <w:p w14:paraId="7041F0B1" w14:textId="53BC9AEF" w:rsidR="00FE4A6D" w:rsidRPr="00C05A4C" w:rsidRDefault="00287A4C" w:rsidP="009B0810">
            <w:pPr>
              <w:spacing w:before="120" w:line="288" w:lineRule="auto"/>
              <w:jc w:val="both"/>
              <w:rPr>
                <w:sz w:val="26"/>
                <w:szCs w:val="26"/>
                <w:lang w:val="vi-VN"/>
              </w:rPr>
            </w:pPr>
            <w:r w:rsidRPr="00C05A4C">
              <w:rPr>
                <w:sz w:val="26"/>
                <w:szCs w:val="26"/>
              </w:rPr>
              <w:t xml:space="preserve">- Để đảm bảo nội dung đơn vị quy định tại khoản 1 phù hợp theo khoản 1 Điều 22 Thông tư số 26/2025/TT-BTP hướng dẫn xây dựng, ban hành văn bản quy phạm pháp luật quy định về soạn thảo điều </w:t>
            </w:r>
            <w:r w:rsidRPr="00C05A4C">
              <w:rPr>
                <w:sz w:val="26"/>
                <w:szCs w:val="26"/>
              </w:rPr>
              <w:lastRenderedPageBreak/>
              <w:t>khoản chuyển tiếp, đề nghị đơn</w:t>
            </w:r>
            <w:r w:rsidRPr="00C05A4C">
              <w:rPr>
                <w:sz w:val="26"/>
                <w:szCs w:val="26"/>
              </w:rPr>
              <w:br/>
              <w:t>vị có đánh giá cụ thể việc ban hành Quyết định này và thay thế các Quyết định ủy quyền trước đây có gây tác động, ảnh hưởng như thế nào đến việc giải quyết</w:t>
            </w:r>
            <w:r w:rsidRPr="00C05A4C">
              <w:rPr>
                <w:sz w:val="26"/>
                <w:szCs w:val="26"/>
              </w:rPr>
              <w:br/>
              <w:t>hồ sơ, thủ tục của các nhiệm vụ đang triển khai thực hiện hay không. Trường</w:t>
            </w:r>
            <w:r w:rsidRPr="00C05A4C">
              <w:rPr>
                <w:sz w:val="26"/>
                <w:szCs w:val="26"/>
              </w:rPr>
              <w:br/>
              <w:t>hợp không gây tác động, ảnh hưởng thì không cần thiết quy định điều khoản</w:t>
            </w:r>
            <w:r w:rsidRPr="00C05A4C">
              <w:rPr>
                <w:sz w:val="26"/>
                <w:szCs w:val="26"/>
              </w:rPr>
              <w:br/>
              <w:t>chuyển tiếp, đề nghị đơn vị cân nhắc bỏ nội dung này</w:t>
            </w:r>
          </w:p>
        </w:tc>
        <w:tc>
          <w:tcPr>
            <w:tcW w:w="2266" w:type="dxa"/>
          </w:tcPr>
          <w:p w14:paraId="2CBBBB86" w14:textId="231939BF" w:rsidR="00FE4A6D" w:rsidRPr="00C05A4C" w:rsidRDefault="001E4DA5" w:rsidP="009B0810">
            <w:pPr>
              <w:spacing w:before="120" w:line="288" w:lineRule="auto"/>
              <w:jc w:val="both"/>
              <w:rPr>
                <w:sz w:val="26"/>
                <w:szCs w:val="26"/>
              </w:rPr>
            </w:pPr>
            <w:r w:rsidRPr="00C05A4C">
              <w:rPr>
                <w:sz w:val="26"/>
                <w:szCs w:val="26"/>
                <w:lang w:val="vi-VN"/>
              </w:rPr>
              <w:lastRenderedPageBreak/>
              <w:t>Tiếp thu. Đã rà soát, trường hợp nhiệm vụ đang triển khai phù hợp với phân cấp mới</w:t>
            </w:r>
            <w:r w:rsidR="00174977" w:rsidRPr="00C05A4C">
              <w:rPr>
                <w:sz w:val="26"/>
                <w:szCs w:val="26"/>
              </w:rPr>
              <w:t>. Nên cơ quan chủ trì soạn thảo không đưa nội dung điều khoản chuyển tiếp vào dự thảo quyết định.</w:t>
            </w:r>
          </w:p>
        </w:tc>
      </w:tr>
      <w:tr w:rsidR="00B47054" w:rsidRPr="00C05A4C" w14:paraId="172023D6" w14:textId="77777777" w:rsidTr="00F670D3">
        <w:tc>
          <w:tcPr>
            <w:tcW w:w="2265" w:type="dxa"/>
          </w:tcPr>
          <w:p w14:paraId="4FD19697" w14:textId="44ED6E83" w:rsidR="00B47054" w:rsidRPr="00C05A4C" w:rsidRDefault="001E4DA5" w:rsidP="009B0810">
            <w:pPr>
              <w:spacing w:before="120" w:line="288" w:lineRule="auto"/>
              <w:jc w:val="both"/>
              <w:rPr>
                <w:sz w:val="26"/>
                <w:szCs w:val="26"/>
                <w:lang w:val="vi-VN"/>
              </w:rPr>
            </w:pPr>
            <w:r w:rsidRPr="00C05A4C">
              <w:rPr>
                <w:sz w:val="26"/>
                <w:szCs w:val="26"/>
                <w:lang w:val="vi-VN"/>
              </w:rPr>
              <w:lastRenderedPageBreak/>
              <w:t>Thể thức và kỹ thuật văn bản</w:t>
            </w:r>
          </w:p>
        </w:tc>
        <w:tc>
          <w:tcPr>
            <w:tcW w:w="2265" w:type="dxa"/>
          </w:tcPr>
          <w:p w14:paraId="368AF77F" w14:textId="171357B1" w:rsidR="00B47054" w:rsidRPr="00C05A4C" w:rsidRDefault="001E4DA5" w:rsidP="009B0810">
            <w:pPr>
              <w:spacing w:before="120" w:line="288" w:lineRule="auto"/>
              <w:jc w:val="both"/>
              <w:rPr>
                <w:sz w:val="26"/>
                <w:szCs w:val="26"/>
              </w:rPr>
            </w:pPr>
            <w:r w:rsidRPr="00C05A4C">
              <w:rPr>
                <w:sz w:val="26"/>
                <w:szCs w:val="26"/>
                <w:lang w:val="vi-VN"/>
              </w:rPr>
              <w:t>Sở Nội vụ, Phường Phước Bình</w:t>
            </w:r>
            <w:r w:rsidR="00852452" w:rsidRPr="00C05A4C">
              <w:rPr>
                <w:sz w:val="26"/>
                <w:szCs w:val="26"/>
              </w:rPr>
              <w:t>, Phường Long Bình</w:t>
            </w:r>
          </w:p>
        </w:tc>
        <w:tc>
          <w:tcPr>
            <w:tcW w:w="2266" w:type="dxa"/>
          </w:tcPr>
          <w:p w14:paraId="033923B9" w14:textId="77777777" w:rsidR="00B47054" w:rsidRPr="00C05A4C" w:rsidRDefault="001E4DA5" w:rsidP="001E4DA5">
            <w:pPr>
              <w:spacing w:before="120" w:line="288" w:lineRule="auto"/>
              <w:jc w:val="both"/>
              <w:rPr>
                <w:sz w:val="26"/>
                <w:szCs w:val="26"/>
              </w:rPr>
            </w:pPr>
            <w:r w:rsidRPr="00C05A4C">
              <w:rPr>
                <w:sz w:val="26"/>
                <w:szCs w:val="26"/>
                <w:lang w:val="vi-VN"/>
              </w:rPr>
              <w:t>Thống nhất dùng thuật ngữ "UBND cấp xã" thay vì liệt kê xã, phường. Bỏ thông tin liên hệ chân trang; trình bày cấu trúc Điều, khoản, điểm (không dùng gạch đầu dòng)</w:t>
            </w:r>
            <w:r w:rsidR="00852452" w:rsidRPr="00C05A4C">
              <w:rPr>
                <w:sz w:val="26"/>
                <w:szCs w:val="26"/>
              </w:rPr>
              <w:t xml:space="preserve">; </w:t>
            </w:r>
          </w:p>
          <w:p w14:paraId="0C459869" w14:textId="6A09B4F0" w:rsidR="00852452" w:rsidRPr="00C05A4C" w:rsidRDefault="00852452" w:rsidP="001E4DA5">
            <w:pPr>
              <w:spacing w:before="120" w:line="288" w:lineRule="auto"/>
              <w:jc w:val="both"/>
              <w:rPr>
                <w:sz w:val="26"/>
                <w:szCs w:val="26"/>
              </w:rPr>
            </w:pPr>
            <w:r w:rsidRPr="00C05A4C">
              <w:rPr>
                <w:sz w:val="26"/>
                <w:szCs w:val="26"/>
              </w:rPr>
              <w:t>i) Tại phần nơi nhận</w:t>
            </w:r>
            <w:r w:rsidRPr="00C05A4C">
              <w:rPr>
                <w:sz w:val="26"/>
                <w:szCs w:val="26"/>
              </w:rPr>
              <w:br/>
              <w:t>- Đề nghị bổ sung thêm nội dung “Cục Kiểm tra văn bản và Tổ chức thi</w:t>
            </w:r>
            <w:r w:rsidRPr="00C05A4C">
              <w:rPr>
                <w:sz w:val="26"/>
                <w:szCs w:val="26"/>
              </w:rPr>
              <w:br/>
              <w:t xml:space="preserve">hành pháp luật – Bộ </w:t>
            </w:r>
            <w:r w:rsidRPr="00C05A4C">
              <w:rPr>
                <w:sz w:val="26"/>
                <w:szCs w:val="26"/>
              </w:rPr>
              <w:lastRenderedPageBreak/>
              <w:t>Tư pháp”.</w:t>
            </w:r>
            <w:r w:rsidRPr="00C05A4C">
              <w:rPr>
                <w:sz w:val="26"/>
                <w:szCs w:val="26"/>
              </w:rPr>
              <w:br/>
              <w:t>- Đề nghị bỏ dòng “Các hội, đoàn thể tỉnh”, vì các đơn vị này thuộc Ủy</w:t>
            </w:r>
            <w:r w:rsidRPr="00C05A4C">
              <w:rPr>
                <w:sz w:val="26"/>
                <w:szCs w:val="26"/>
              </w:rPr>
              <w:br/>
              <w:t>ban MTTQVN tỉnh.</w:t>
            </w:r>
            <w:r w:rsidRPr="00C05A4C">
              <w:rPr>
                <w:sz w:val="26"/>
                <w:szCs w:val="26"/>
              </w:rPr>
              <w:br/>
              <w:t>- Đề nghị bổ sung thêm các dòng sau:</w:t>
            </w:r>
            <w:r w:rsidRPr="00C05A4C">
              <w:rPr>
                <w:sz w:val="26"/>
                <w:szCs w:val="26"/>
              </w:rPr>
              <w:br/>
              <w:t>“- Sở Tư pháp;</w:t>
            </w:r>
            <w:r w:rsidRPr="00C05A4C">
              <w:rPr>
                <w:sz w:val="26"/>
                <w:szCs w:val="26"/>
              </w:rPr>
              <w:br/>
              <w:t>- Báo và Phát thanh, truyền hình Đồng Nai;</w:t>
            </w:r>
            <w:r w:rsidRPr="00C05A4C">
              <w:rPr>
                <w:sz w:val="26"/>
                <w:szCs w:val="26"/>
              </w:rPr>
              <w:br/>
              <w:t>- Công báo điện tử tỉnh;”</w:t>
            </w:r>
            <w:r w:rsidRPr="00C05A4C">
              <w:rPr>
                <w:sz w:val="26"/>
                <w:szCs w:val="26"/>
              </w:rPr>
              <w:br/>
              <w:t>- Tại dòng nội dung “Lưu”, đề nghị bỏ cụm từ viết tắt “CTTĐT” và đơn vị</w:t>
            </w:r>
            <w:r w:rsidRPr="00C05A4C">
              <w:rPr>
                <w:sz w:val="26"/>
                <w:szCs w:val="26"/>
              </w:rPr>
              <w:br/>
              <w:t>cần phối hợp với Văn phòng Ủy ban nhân dân tỉnh xác định số lượng bản lưu.</w:t>
            </w:r>
          </w:p>
        </w:tc>
        <w:tc>
          <w:tcPr>
            <w:tcW w:w="2266" w:type="dxa"/>
          </w:tcPr>
          <w:p w14:paraId="64F49C61" w14:textId="6CDFFE18" w:rsidR="00B47054" w:rsidRPr="00C05A4C" w:rsidRDefault="001E4DA5" w:rsidP="009B0810">
            <w:pPr>
              <w:spacing w:before="120" w:line="288" w:lineRule="auto"/>
              <w:jc w:val="both"/>
              <w:rPr>
                <w:sz w:val="26"/>
                <w:szCs w:val="26"/>
                <w:lang w:val="vi-VN"/>
              </w:rPr>
            </w:pPr>
            <w:r w:rsidRPr="00C05A4C">
              <w:rPr>
                <w:sz w:val="26"/>
                <w:szCs w:val="26"/>
                <w:lang w:val="vi-VN"/>
              </w:rPr>
              <w:lastRenderedPageBreak/>
              <w:t>Tiếp thu</w:t>
            </w:r>
            <w:r w:rsidR="00852452" w:rsidRPr="00C05A4C">
              <w:rPr>
                <w:sz w:val="26"/>
                <w:szCs w:val="26"/>
              </w:rPr>
              <w:t xml:space="preserve"> và chỉnh sửa. </w:t>
            </w:r>
            <w:r w:rsidRPr="00C05A4C">
              <w:rPr>
                <w:sz w:val="26"/>
                <w:szCs w:val="26"/>
                <w:lang w:val="vi-VN"/>
              </w:rPr>
              <w:t>Đã chuẩn hóa toàn bộ thuật ngữ và thể thức theo quy định tại Nghị định 78/2025/NĐ-CP</w:t>
            </w:r>
          </w:p>
        </w:tc>
      </w:tr>
      <w:tr w:rsidR="00550C8F" w:rsidRPr="00C05A4C" w14:paraId="7543573B" w14:textId="77777777" w:rsidTr="00F670D3">
        <w:tc>
          <w:tcPr>
            <w:tcW w:w="2265" w:type="dxa"/>
          </w:tcPr>
          <w:p w14:paraId="607A5AD7" w14:textId="3C549AF1" w:rsidR="00550C8F" w:rsidRPr="00C05A4C" w:rsidRDefault="001E4DA5" w:rsidP="009B0810">
            <w:pPr>
              <w:spacing w:before="120" w:line="288" w:lineRule="auto"/>
              <w:jc w:val="both"/>
              <w:rPr>
                <w:sz w:val="26"/>
                <w:szCs w:val="26"/>
                <w:lang w:val="vi-VN"/>
              </w:rPr>
            </w:pPr>
            <w:r w:rsidRPr="00C05A4C">
              <w:rPr>
                <w:sz w:val="26"/>
                <w:szCs w:val="26"/>
                <w:lang w:val="vi-VN"/>
              </w:rPr>
              <w:t>Nguồn lực đảm bảo</w:t>
            </w:r>
          </w:p>
        </w:tc>
        <w:tc>
          <w:tcPr>
            <w:tcW w:w="2265" w:type="dxa"/>
          </w:tcPr>
          <w:p w14:paraId="50FBC6DE" w14:textId="3377EA6C" w:rsidR="00550C8F" w:rsidRPr="00C05A4C" w:rsidRDefault="001E4DA5" w:rsidP="009B0810">
            <w:pPr>
              <w:spacing w:before="120" w:line="288" w:lineRule="auto"/>
              <w:jc w:val="both"/>
              <w:rPr>
                <w:sz w:val="26"/>
                <w:szCs w:val="26"/>
                <w:lang w:val="vi-VN"/>
              </w:rPr>
            </w:pPr>
            <w:r w:rsidRPr="00C05A4C">
              <w:rPr>
                <w:sz w:val="26"/>
                <w:szCs w:val="26"/>
                <w:lang w:val="vi-VN"/>
              </w:rPr>
              <w:t>Phường Bình Phước</w:t>
            </w:r>
          </w:p>
        </w:tc>
        <w:tc>
          <w:tcPr>
            <w:tcW w:w="2266" w:type="dxa"/>
          </w:tcPr>
          <w:p w14:paraId="6609078A" w14:textId="1C3AC30E" w:rsidR="00550C8F" w:rsidRPr="00C05A4C" w:rsidRDefault="001E4DA5" w:rsidP="009B0810">
            <w:pPr>
              <w:spacing w:before="120" w:line="288" w:lineRule="auto"/>
              <w:jc w:val="both"/>
              <w:rPr>
                <w:sz w:val="26"/>
                <w:szCs w:val="26"/>
                <w:lang w:val="vi-VN"/>
              </w:rPr>
            </w:pPr>
            <w:r w:rsidRPr="00C05A4C">
              <w:rPr>
                <w:sz w:val="26"/>
                <w:szCs w:val="26"/>
                <w:lang w:val="vi-VN"/>
              </w:rPr>
              <w:t>Lưu ý việc đảm bảo nhân lực, vật lực cho cấp xã triển khai, vì công chức xã đang kiêm nhiệm nhiều việc</w:t>
            </w:r>
          </w:p>
        </w:tc>
        <w:tc>
          <w:tcPr>
            <w:tcW w:w="2266" w:type="dxa"/>
          </w:tcPr>
          <w:p w14:paraId="308DA1D6" w14:textId="43B7448F" w:rsidR="00401B6E" w:rsidRDefault="00401B6E" w:rsidP="009B0810">
            <w:pPr>
              <w:spacing w:before="120" w:line="288" w:lineRule="auto"/>
              <w:jc w:val="both"/>
              <w:rPr>
                <w:sz w:val="26"/>
                <w:szCs w:val="26"/>
              </w:rPr>
            </w:pPr>
            <w:r>
              <w:rPr>
                <w:sz w:val="26"/>
                <w:szCs w:val="26"/>
              </w:rPr>
              <w:t xml:space="preserve">- Các căn cứ quy định để phân cấp nhiệm vụ quản lý KHCN&amp;ĐMST đã được cơ quan chủ trì soạn thảo giải trình chi tiết tại dự thảo tờ trình và báo cáo đánh giá tác động, cũng như trong toàn bộ hồ sơ trình. </w:t>
            </w:r>
          </w:p>
          <w:p w14:paraId="51FBE23B" w14:textId="1DC415C1" w:rsidR="00401B6E" w:rsidRDefault="00401B6E" w:rsidP="009B0810">
            <w:pPr>
              <w:spacing w:before="120" w:line="288" w:lineRule="auto"/>
              <w:jc w:val="both"/>
              <w:rPr>
                <w:sz w:val="26"/>
                <w:szCs w:val="26"/>
              </w:rPr>
            </w:pPr>
            <w:r w:rsidRPr="00401B6E">
              <w:rPr>
                <w:sz w:val="26"/>
                <w:szCs w:val="26"/>
              </w:rPr>
              <w:t xml:space="preserve">- Việc đẩy mạnh phân cấp cho Ủy ban nhân dân cấp </w:t>
            </w:r>
            <w:r w:rsidRPr="00401B6E">
              <w:rPr>
                <w:sz w:val="26"/>
                <w:szCs w:val="26"/>
              </w:rPr>
              <w:lastRenderedPageBreak/>
              <w:t xml:space="preserve">xã là bước đi đột phá </w:t>
            </w:r>
            <w:r w:rsidR="00183E0A" w:rsidRPr="00183E0A">
              <w:rPr>
                <w:sz w:val="26"/>
                <w:szCs w:val="26"/>
              </w:rPr>
              <w:t xml:space="preserve">về thể chế quản lý nhà nước </w:t>
            </w:r>
            <w:r w:rsidRPr="00401B6E">
              <w:rPr>
                <w:sz w:val="26"/>
                <w:szCs w:val="26"/>
              </w:rPr>
              <w:t>nhằm giải quyết các vấn đề về khoa học và công nghệ, vấn đề về đổi mới sáng tạo của sở sở trên địa bàn thành phố Đồng Nai phù hợp với yêu cầu đổi mới tư duy quản lý và mô hình chính quyền đô thị, xứng tầm thành thành phố trực thuộc Trung ương.</w:t>
            </w:r>
          </w:p>
          <w:p w14:paraId="0373319F" w14:textId="5E791F94" w:rsidR="00550C8F" w:rsidRPr="00C05A4C" w:rsidRDefault="00401B6E" w:rsidP="009B0810">
            <w:pPr>
              <w:spacing w:before="120" w:line="288" w:lineRule="auto"/>
              <w:jc w:val="both"/>
              <w:rPr>
                <w:sz w:val="26"/>
                <w:szCs w:val="26"/>
                <w:lang w:val="vi-VN"/>
              </w:rPr>
            </w:pPr>
            <w:r>
              <w:rPr>
                <w:sz w:val="26"/>
                <w:szCs w:val="26"/>
              </w:rPr>
              <w:t>- Ngoài ra,</w:t>
            </w:r>
            <w:r w:rsidR="00DF6F1A" w:rsidRPr="00C05A4C">
              <w:rPr>
                <w:sz w:val="26"/>
                <w:szCs w:val="26"/>
              </w:rPr>
              <w:t xml:space="preserve"> Dự thảo quy định Trách nhiệm của các cơ quan, đơn vị tại khoản 2 Điều 4 </w:t>
            </w:r>
            <w:r>
              <w:rPr>
                <w:sz w:val="26"/>
                <w:szCs w:val="26"/>
              </w:rPr>
              <w:t>. Đây được xem là cơ sở để địa phương xây dựng, mô tả vị trí việc làm, đề xuất phân bổ biên chế phù hợp với tình hình thực tế.</w:t>
            </w:r>
          </w:p>
        </w:tc>
      </w:tr>
      <w:tr w:rsidR="00550C8F" w:rsidRPr="00C05A4C" w14:paraId="6A224528" w14:textId="77777777" w:rsidTr="00F670D3">
        <w:tc>
          <w:tcPr>
            <w:tcW w:w="2265" w:type="dxa"/>
          </w:tcPr>
          <w:p w14:paraId="7396D223" w14:textId="6E724AEC" w:rsidR="00550C8F" w:rsidRPr="00C05A4C" w:rsidRDefault="00100F90" w:rsidP="009B0810">
            <w:pPr>
              <w:spacing w:before="120" w:line="288" w:lineRule="auto"/>
              <w:jc w:val="both"/>
              <w:rPr>
                <w:sz w:val="26"/>
                <w:szCs w:val="26"/>
                <w:lang w:val="vi-VN"/>
              </w:rPr>
            </w:pPr>
            <w:r w:rsidRPr="00C05A4C">
              <w:rPr>
                <w:sz w:val="26"/>
                <w:szCs w:val="26"/>
              </w:rPr>
              <w:lastRenderedPageBreak/>
              <w:t>Nôi dung dự thảo tờ trình và dự thảo Quyết định</w:t>
            </w:r>
          </w:p>
        </w:tc>
        <w:tc>
          <w:tcPr>
            <w:tcW w:w="2265" w:type="dxa"/>
          </w:tcPr>
          <w:p w14:paraId="7C08871E" w14:textId="03C28693" w:rsidR="00550C8F" w:rsidRPr="00C05A4C" w:rsidRDefault="00852452" w:rsidP="009B0810">
            <w:pPr>
              <w:spacing w:before="120" w:line="288" w:lineRule="auto"/>
              <w:jc w:val="both"/>
              <w:rPr>
                <w:sz w:val="26"/>
                <w:szCs w:val="26"/>
              </w:rPr>
            </w:pPr>
            <w:r w:rsidRPr="00C05A4C">
              <w:rPr>
                <w:sz w:val="26"/>
                <w:szCs w:val="26"/>
              </w:rPr>
              <w:t>Phường An Lộc, Phường Bình Lộc, Phường Bình Long, Phường Hố Nai, Phường Long Bình,</w:t>
            </w:r>
            <w:r w:rsidR="00100F90" w:rsidRPr="00C05A4C">
              <w:rPr>
                <w:sz w:val="26"/>
                <w:szCs w:val="26"/>
              </w:rPr>
              <w:t xml:space="preserve"> Phường Minh Hưng, Phường Tam Phước, xã Bù Đăng, xã Đa Kia, xã Đại Phước, xã Đăk Nhau, xã Lộc </w:t>
            </w:r>
            <w:r w:rsidR="00100F90" w:rsidRPr="00C05A4C">
              <w:rPr>
                <w:sz w:val="26"/>
                <w:szCs w:val="26"/>
              </w:rPr>
              <w:lastRenderedPageBreak/>
              <w:t>Tấn, xã Long Hà, xã Long Phước, xã Nam Cát Tiên, xã Phú Hòa, xã Phú Lâm, xã Phú Nghĩa, xã Phước Long, xã Phước Sơn, xã Tân An, xã Tân Tiến, xã Thọ Sơn, xã Thống Nhất, xã Trảng Bom, xã Xuân Định, xã Xuân Đông, xã Xuân Quế, xã Xuân Thanh và ý kiến góp ý của Nhân dân qua Cổng thông tin điện tử thành phố.</w:t>
            </w:r>
            <w:r w:rsidRPr="00C05A4C">
              <w:rPr>
                <w:sz w:val="26"/>
                <w:szCs w:val="26"/>
              </w:rPr>
              <w:t xml:space="preserve"> </w:t>
            </w:r>
          </w:p>
        </w:tc>
        <w:tc>
          <w:tcPr>
            <w:tcW w:w="2266" w:type="dxa"/>
          </w:tcPr>
          <w:p w14:paraId="6E347438" w14:textId="27F8D387" w:rsidR="00550C8F" w:rsidRPr="00C05A4C" w:rsidRDefault="00100F90" w:rsidP="009B0810">
            <w:pPr>
              <w:spacing w:before="120" w:line="288" w:lineRule="auto"/>
              <w:jc w:val="both"/>
              <w:rPr>
                <w:sz w:val="26"/>
                <w:szCs w:val="26"/>
              </w:rPr>
            </w:pPr>
            <w:r w:rsidRPr="00C05A4C">
              <w:rPr>
                <w:sz w:val="26"/>
                <w:szCs w:val="26"/>
              </w:rPr>
              <w:lastRenderedPageBreak/>
              <w:t xml:space="preserve">Thống nhất </w:t>
            </w:r>
          </w:p>
        </w:tc>
        <w:tc>
          <w:tcPr>
            <w:tcW w:w="2266" w:type="dxa"/>
          </w:tcPr>
          <w:p w14:paraId="6D5B7EF4" w14:textId="77777777" w:rsidR="00550C8F" w:rsidRPr="00C05A4C" w:rsidRDefault="00550C8F" w:rsidP="009B0810">
            <w:pPr>
              <w:spacing w:before="120" w:line="288" w:lineRule="auto"/>
              <w:jc w:val="both"/>
              <w:rPr>
                <w:sz w:val="26"/>
                <w:szCs w:val="26"/>
                <w:lang w:val="vi-VN"/>
              </w:rPr>
            </w:pPr>
          </w:p>
        </w:tc>
      </w:tr>
    </w:tbl>
    <w:p w14:paraId="0815C098" w14:textId="77777777" w:rsidR="00C05A4C" w:rsidRPr="00C05A4C" w:rsidRDefault="00C05A4C" w:rsidP="00C05A4C">
      <w:pPr>
        <w:spacing w:before="120" w:line="288" w:lineRule="auto"/>
        <w:ind w:right="-1" w:firstLine="709"/>
        <w:jc w:val="both"/>
        <w:rPr>
          <w:b/>
          <w:bCs/>
        </w:rPr>
      </w:pPr>
      <w:r w:rsidRPr="00C05A4C">
        <w:rPr>
          <w:b/>
          <w:bCs/>
        </w:rPr>
        <w:t>4. Đánh giá chung:</w:t>
      </w:r>
    </w:p>
    <w:p w14:paraId="0CB8E350" w14:textId="77777777" w:rsidR="00C05A4C" w:rsidRPr="00C05A4C" w:rsidRDefault="00C05A4C" w:rsidP="00C05A4C">
      <w:pPr>
        <w:spacing w:before="120" w:line="288" w:lineRule="auto"/>
        <w:ind w:right="-1" w:firstLine="709"/>
        <w:jc w:val="both"/>
      </w:pPr>
      <w:r w:rsidRPr="00C05A4C">
        <w:t xml:space="preserve">Đa số các ý kiến đều đồng thuận với chủ trương đưa khoa học, công nghệ và đổi mới sáng tạo về cơ sở. Việc phân cấp giúp cấp xã chủ động giải quyết các vấn đề đặc thù của địa phương một cách nhanh chóng, hiệu quả.  </w:t>
      </w:r>
    </w:p>
    <w:p w14:paraId="557863FF" w14:textId="67BD55FE" w:rsidR="00A3565D" w:rsidRPr="00C05A4C" w:rsidRDefault="00C05A4C" w:rsidP="00C05A4C">
      <w:pPr>
        <w:spacing w:before="120" w:line="288" w:lineRule="auto"/>
        <w:ind w:right="-1" w:firstLine="709"/>
        <w:jc w:val="both"/>
      </w:pPr>
      <w:r w:rsidRPr="00C05A4C">
        <w:t>Sở Khoa học và Công nghệ đã hoàn thiện dự thảo trên cơ sở tiếp thu tối đa các góp ý, đảm bảo tính chặt chẽ, khả thi để trình Ủy ban nhân dân thành phố ban hành trong Quý II năm 2026.  Kính trình Ủy ban nhân dân thành phố xem xét, quyết định./.</w:t>
      </w:r>
    </w:p>
    <w:tbl>
      <w:tblPr>
        <w:tblW w:w="0" w:type="auto"/>
        <w:tblLook w:val="01E0" w:firstRow="1" w:lastRow="1" w:firstColumn="1" w:lastColumn="1" w:noHBand="0" w:noVBand="0"/>
      </w:tblPr>
      <w:tblGrid>
        <w:gridCol w:w="5425"/>
        <w:gridCol w:w="3647"/>
      </w:tblGrid>
      <w:tr w:rsidR="00A3565D" w:rsidRPr="00CC5500" w14:paraId="24BE6AB5" w14:textId="77777777" w:rsidTr="0059064F">
        <w:trPr>
          <w:trHeight w:val="237"/>
        </w:trPr>
        <w:tc>
          <w:tcPr>
            <w:tcW w:w="5495" w:type="dxa"/>
          </w:tcPr>
          <w:p w14:paraId="00DA9708" w14:textId="77777777" w:rsidR="00A3565D" w:rsidRDefault="00A3565D" w:rsidP="0059064F">
            <w:pPr>
              <w:jc w:val="both"/>
              <w:rPr>
                <w:sz w:val="22"/>
                <w:lang w:val="sq-AL"/>
              </w:rPr>
            </w:pPr>
            <w:r w:rsidRPr="00CC5500">
              <w:rPr>
                <w:b/>
                <w:i/>
                <w:lang w:val="sq-AL"/>
              </w:rPr>
              <w:t>Nơi nhận:</w:t>
            </w:r>
            <w:r w:rsidRPr="00CC5500">
              <w:rPr>
                <w:sz w:val="22"/>
                <w:lang w:val="sq-AL"/>
              </w:rPr>
              <w:t xml:space="preserve"> </w:t>
            </w:r>
          </w:p>
          <w:p w14:paraId="5CE0D191" w14:textId="77777777" w:rsidR="00A3565D" w:rsidRPr="00CC5500" w:rsidRDefault="00A3565D" w:rsidP="0059064F">
            <w:pPr>
              <w:jc w:val="both"/>
              <w:rPr>
                <w:sz w:val="22"/>
                <w:lang w:val="sq-AL"/>
              </w:rPr>
            </w:pPr>
            <w:r w:rsidRPr="00CC5500">
              <w:rPr>
                <w:sz w:val="22"/>
                <w:lang w:val="sq-AL"/>
              </w:rPr>
              <w:t xml:space="preserve">- UBND </w:t>
            </w:r>
            <w:r>
              <w:rPr>
                <w:sz w:val="22"/>
                <w:lang w:val="sq-AL"/>
              </w:rPr>
              <w:t>thành phố</w:t>
            </w:r>
            <w:r w:rsidRPr="00CC5500">
              <w:rPr>
                <w:sz w:val="22"/>
                <w:lang w:val="sq-AL"/>
              </w:rPr>
              <w:t>;</w:t>
            </w:r>
          </w:p>
          <w:p w14:paraId="37D48257" w14:textId="77777777" w:rsidR="00A3565D" w:rsidRPr="00CC5500" w:rsidRDefault="00A3565D" w:rsidP="0059064F">
            <w:pPr>
              <w:jc w:val="both"/>
              <w:rPr>
                <w:sz w:val="22"/>
                <w:lang w:val="sq-AL"/>
              </w:rPr>
            </w:pPr>
            <w:r w:rsidRPr="00CC5500">
              <w:rPr>
                <w:sz w:val="22"/>
                <w:lang w:val="sq-AL"/>
              </w:rPr>
              <w:t xml:space="preserve">- </w:t>
            </w:r>
            <w:r>
              <w:rPr>
                <w:sz w:val="22"/>
                <w:lang w:val="sq-AL"/>
              </w:rPr>
              <w:t>Văn phòng UBND thành phố</w:t>
            </w:r>
            <w:r w:rsidRPr="00CC5500">
              <w:rPr>
                <w:sz w:val="22"/>
                <w:lang w:val="sq-AL"/>
              </w:rPr>
              <w:t>;</w:t>
            </w:r>
          </w:p>
          <w:p w14:paraId="6E9920AA" w14:textId="77777777" w:rsidR="00A3565D" w:rsidRPr="00CC5500" w:rsidRDefault="00A3565D" w:rsidP="0059064F">
            <w:pPr>
              <w:jc w:val="both"/>
              <w:rPr>
                <w:sz w:val="22"/>
                <w:lang w:val="sq-AL"/>
              </w:rPr>
            </w:pPr>
            <w:r w:rsidRPr="00CC5500">
              <w:rPr>
                <w:sz w:val="22"/>
                <w:lang w:val="sq-AL"/>
              </w:rPr>
              <w:t xml:space="preserve">- </w:t>
            </w:r>
            <w:r>
              <w:rPr>
                <w:sz w:val="22"/>
                <w:lang w:val="sq-AL"/>
              </w:rPr>
              <w:t>C</w:t>
            </w:r>
            <w:r w:rsidRPr="00CC5500">
              <w:rPr>
                <w:sz w:val="22"/>
                <w:lang w:val="sq-AL"/>
              </w:rPr>
              <w:t>ác Phó Giám đốc Sở (báo cáo);</w:t>
            </w:r>
          </w:p>
          <w:p w14:paraId="03870A87" w14:textId="77777777" w:rsidR="00A3565D" w:rsidRPr="00CC5500" w:rsidRDefault="00A3565D" w:rsidP="0059064F">
            <w:pPr>
              <w:tabs>
                <w:tab w:val="left" w:pos="540"/>
              </w:tabs>
              <w:jc w:val="both"/>
              <w:rPr>
                <w:b/>
                <w:i/>
                <w:lang w:val="sq-AL"/>
              </w:rPr>
            </w:pPr>
            <w:r w:rsidRPr="00CC5500">
              <w:rPr>
                <w:sz w:val="22"/>
                <w:szCs w:val="22"/>
                <w:lang w:val="sq-AL"/>
              </w:rPr>
              <w:t>- Lưu: VT(0</w:t>
            </w:r>
            <w:r>
              <w:rPr>
                <w:sz w:val="22"/>
                <w:szCs w:val="22"/>
                <w:lang w:val="sq-AL"/>
              </w:rPr>
              <w:t>1</w:t>
            </w:r>
            <w:r w:rsidRPr="00CC5500">
              <w:rPr>
                <w:sz w:val="22"/>
                <w:szCs w:val="22"/>
                <w:lang w:val="sq-AL"/>
              </w:rPr>
              <w:t xml:space="preserve">), </w:t>
            </w:r>
            <w:r>
              <w:rPr>
                <w:sz w:val="22"/>
                <w:szCs w:val="22"/>
                <w:lang w:val="sq-AL"/>
              </w:rPr>
              <w:t>PKHCN.</w:t>
            </w:r>
            <w:r w:rsidRPr="00CC5500">
              <w:rPr>
                <w:sz w:val="22"/>
                <w:szCs w:val="22"/>
                <w:lang w:val="sq-AL"/>
              </w:rPr>
              <w:t>BIEN.</w:t>
            </w:r>
          </w:p>
        </w:tc>
        <w:tc>
          <w:tcPr>
            <w:tcW w:w="3685" w:type="dxa"/>
          </w:tcPr>
          <w:p w14:paraId="6EAB9EC1" w14:textId="77777777" w:rsidR="00A3565D" w:rsidRDefault="00A3565D" w:rsidP="0059064F">
            <w:pPr>
              <w:tabs>
                <w:tab w:val="left" w:pos="540"/>
              </w:tabs>
              <w:ind w:firstLine="567"/>
              <w:jc w:val="center"/>
              <w:rPr>
                <w:b/>
                <w:sz w:val="26"/>
                <w:szCs w:val="26"/>
                <w:lang w:val="sq-AL"/>
              </w:rPr>
            </w:pPr>
            <w:r w:rsidRPr="00CC5500">
              <w:rPr>
                <w:b/>
                <w:sz w:val="26"/>
                <w:szCs w:val="26"/>
                <w:lang w:val="sq-AL"/>
              </w:rPr>
              <w:t>GIÁM ĐỐC</w:t>
            </w:r>
          </w:p>
          <w:p w14:paraId="48F6376B" w14:textId="77777777" w:rsidR="00A3565D" w:rsidRDefault="00A3565D" w:rsidP="0059064F">
            <w:pPr>
              <w:tabs>
                <w:tab w:val="left" w:pos="540"/>
              </w:tabs>
              <w:ind w:firstLine="567"/>
              <w:jc w:val="center"/>
              <w:rPr>
                <w:b/>
                <w:lang w:val="sq-AL"/>
              </w:rPr>
            </w:pPr>
          </w:p>
          <w:p w14:paraId="28B8CD87" w14:textId="77777777" w:rsidR="00A3565D" w:rsidRDefault="00A3565D" w:rsidP="0059064F">
            <w:pPr>
              <w:tabs>
                <w:tab w:val="left" w:pos="540"/>
              </w:tabs>
              <w:ind w:firstLine="567"/>
              <w:jc w:val="center"/>
              <w:rPr>
                <w:b/>
                <w:lang w:val="sq-AL"/>
              </w:rPr>
            </w:pPr>
          </w:p>
          <w:p w14:paraId="54B17CB9" w14:textId="77777777" w:rsidR="00A3565D" w:rsidRDefault="00A3565D" w:rsidP="0059064F">
            <w:pPr>
              <w:tabs>
                <w:tab w:val="left" w:pos="540"/>
              </w:tabs>
              <w:ind w:firstLine="567"/>
              <w:jc w:val="center"/>
              <w:rPr>
                <w:b/>
                <w:lang w:val="sq-AL"/>
              </w:rPr>
            </w:pPr>
          </w:p>
          <w:p w14:paraId="0B9E145C" w14:textId="77777777" w:rsidR="00A3565D" w:rsidRDefault="00A3565D" w:rsidP="0059064F">
            <w:pPr>
              <w:tabs>
                <w:tab w:val="left" w:pos="540"/>
              </w:tabs>
              <w:ind w:firstLine="567"/>
              <w:jc w:val="center"/>
              <w:rPr>
                <w:b/>
                <w:lang w:val="sq-AL"/>
              </w:rPr>
            </w:pPr>
          </w:p>
          <w:p w14:paraId="4A7FD295" w14:textId="77777777" w:rsidR="00A3565D" w:rsidRPr="00CC5500" w:rsidRDefault="00A3565D" w:rsidP="0059064F">
            <w:pPr>
              <w:tabs>
                <w:tab w:val="left" w:pos="540"/>
              </w:tabs>
              <w:ind w:firstLine="567"/>
              <w:jc w:val="center"/>
              <w:rPr>
                <w:b/>
                <w:lang w:val="sq-AL"/>
              </w:rPr>
            </w:pPr>
            <w:r>
              <w:rPr>
                <w:b/>
                <w:lang w:val="sq-AL"/>
              </w:rPr>
              <w:t>Phạm Văn Trinh</w:t>
            </w:r>
          </w:p>
        </w:tc>
      </w:tr>
    </w:tbl>
    <w:p w14:paraId="74D2C3A2" w14:textId="77777777" w:rsidR="00C05A4C" w:rsidRPr="00C05A4C" w:rsidRDefault="00C05A4C" w:rsidP="00C05A4C">
      <w:pPr>
        <w:spacing w:before="120" w:line="288" w:lineRule="auto"/>
        <w:ind w:right="-1" w:firstLine="709"/>
        <w:jc w:val="both"/>
      </w:pPr>
    </w:p>
    <w:sectPr w:rsidR="00C05A4C" w:rsidRPr="00C05A4C" w:rsidSect="009B46D5">
      <w:headerReference w:type="default" r:id="rId8"/>
      <w:pgSz w:w="11907" w:h="16839" w:code="9"/>
      <w:pgMar w:top="907" w:right="1134" w:bottom="62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9AD1" w14:textId="77777777" w:rsidR="0018451E" w:rsidRDefault="0018451E" w:rsidP="00B72306">
      <w:r>
        <w:separator/>
      </w:r>
    </w:p>
  </w:endnote>
  <w:endnote w:type="continuationSeparator" w:id="0">
    <w:p w14:paraId="2D7EB6A9" w14:textId="77777777" w:rsidR="0018451E" w:rsidRDefault="0018451E" w:rsidP="00B7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3563" w14:textId="77777777" w:rsidR="0018451E" w:rsidRDefault="0018451E" w:rsidP="00B72306">
      <w:r>
        <w:separator/>
      </w:r>
    </w:p>
  </w:footnote>
  <w:footnote w:type="continuationSeparator" w:id="0">
    <w:p w14:paraId="57D724F6" w14:textId="77777777" w:rsidR="0018451E" w:rsidRDefault="0018451E" w:rsidP="00B7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675551"/>
      <w:docPartObj>
        <w:docPartGallery w:val="Page Numbers (Top of Page)"/>
        <w:docPartUnique/>
      </w:docPartObj>
    </w:sdtPr>
    <w:sdtEndPr>
      <w:rPr>
        <w:noProof/>
      </w:rPr>
    </w:sdtEndPr>
    <w:sdtContent>
      <w:p w14:paraId="36764BA1" w14:textId="77777777" w:rsidR="00FD3547" w:rsidRDefault="0005149B">
        <w:pPr>
          <w:pStyle w:val="Header"/>
          <w:jc w:val="center"/>
        </w:pPr>
        <w:r>
          <w:fldChar w:fldCharType="begin"/>
        </w:r>
        <w:r w:rsidR="00FD3547">
          <w:instrText xml:space="preserve"> PAGE   \* MERGEFORMAT </w:instrText>
        </w:r>
        <w:r>
          <w:fldChar w:fldCharType="separate"/>
        </w:r>
        <w:r w:rsidR="007E030B">
          <w:rPr>
            <w:noProof/>
          </w:rPr>
          <w:t>2</w:t>
        </w:r>
        <w:r>
          <w:rPr>
            <w:noProof/>
          </w:rPr>
          <w:fldChar w:fldCharType="end"/>
        </w:r>
      </w:p>
    </w:sdtContent>
  </w:sdt>
  <w:p w14:paraId="73402B50" w14:textId="77777777" w:rsidR="00FD3547" w:rsidRDefault="00FD3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1CC"/>
    <w:multiLevelType w:val="hybridMultilevel"/>
    <w:tmpl w:val="451E181E"/>
    <w:lvl w:ilvl="0" w:tplc="338CDE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99D03AF"/>
    <w:multiLevelType w:val="hybridMultilevel"/>
    <w:tmpl w:val="1D3C0E04"/>
    <w:lvl w:ilvl="0" w:tplc="914E03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297062">
    <w:abstractNumId w:val="0"/>
  </w:num>
  <w:num w:numId="2" w16cid:durableId="42974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B8"/>
    <w:rsid w:val="00007332"/>
    <w:rsid w:val="00012EB2"/>
    <w:rsid w:val="000158A5"/>
    <w:rsid w:val="00017089"/>
    <w:rsid w:val="000268F3"/>
    <w:rsid w:val="00037333"/>
    <w:rsid w:val="00041CB1"/>
    <w:rsid w:val="00046A69"/>
    <w:rsid w:val="0005110C"/>
    <w:rsid w:val="0005149B"/>
    <w:rsid w:val="00052D77"/>
    <w:rsid w:val="000549CF"/>
    <w:rsid w:val="0005791E"/>
    <w:rsid w:val="00057C5E"/>
    <w:rsid w:val="000624A9"/>
    <w:rsid w:val="00063340"/>
    <w:rsid w:val="000660E6"/>
    <w:rsid w:val="00070002"/>
    <w:rsid w:val="00071E03"/>
    <w:rsid w:val="00075D82"/>
    <w:rsid w:val="00080246"/>
    <w:rsid w:val="000815D1"/>
    <w:rsid w:val="000816CD"/>
    <w:rsid w:val="000879A2"/>
    <w:rsid w:val="00087C0F"/>
    <w:rsid w:val="0009324A"/>
    <w:rsid w:val="00095F77"/>
    <w:rsid w:val="000A230D"/>
    <w:rsid w:val="000A502C"/>
    <w:rsid w:val="000B068A"/>
    <w:rsid w:val="000B5715"/>
    <w:rsid w:val="000B6838"/>
    <w:rsid w:val="000C0A8E"/>
    <w:rsid w:val="000C4400"/>
    <w:rsid w:val="000C610B"/>
    <w:rsid w:val="000C6DC8"/>
    <w:rsid w:val="000D2FAB"/>
    <w:rsid w:val="000D3067"/>
    <w:rsid w:val="000D3635"/>
    <w:rsid w:val="000E2A98"/>
    <w:rsid w:val="000E363A"/>
    <w:rsid w:val="000E3F33"/>
    <w:rsid w:val="00100F90"/>
    <w:rsid w:val="001024E7"/>
    <w:rsid w:val="00104F9E"/>
    <w:rsid w:val="0010743F"/>
    <w:rsid w:val="00107A7D"/>
    <w:rsid w:val="00114C4D"/>
    <w:rsid w:val="00116AB2"/>
    <w:rsid w:val="0012466A"/>
    <w:rsid w:val="001269AF"/>
    <w:rsid w:val="00127D2F"/>
    <w:rsid w:val="00127D9A"/>
    <w:rsid w:val="00130423"/>
    <w:rsid w:val="00136333"/>
    <w:rsid w:val="00141B09"/>
    <w:rsid w:val="00142E9C"/>
    <w:rsid w:val="001465F6"/>
    <w:rsid w:val="0015240A"/>
    <w:rsid w:val="00166664"/>
    <w:rsid w:val="00174977"/>
    <w:rsid w:val="001758E3"/>
    <w:rsid w:val="00177543"/>
    <w:rsid w:val="00183E0A"/>
    <w:rsid w:val="0018451E"/>
    <w:rsid w:val="001854EA"/>
    <w:rsid w:val="0019066A"/>
    <w:rsid w:val="00193AA0"/>
    <w:rsid w:val="0019623E"/>
    <w:rsid w:val="001A291F"/>
    <w:rsid w:val="001A3151"/>
    <w:rsid w:val="001A3503"/>
    <w:rsid w:val="001B1ACC"/>
    <w:rsid w:val="001B7887"/>
    <w:rsid w:val="001C1CEB"/>
    <w:rsid w:val="001C3202"/>
    <w:rsid w:val="001C3BD2"/>
    <w:rsid w:val="001C4691"/>
    <w:rsid w:val="001D4DA8"/>
    <w:rsid w:val="001D7914"/>
    <w:rsid w:val="001E22F0"/>
    <w:rsid w:val="001E47D8"/>
    <w:rsid w:val="001E4DA5"/>
    <w:rsid w:val="001F0DC0"/>
    <w:rsid w:val="0020233F"/>
    <w:rsid w:val="00203117"/>
    <w:rsid w:val="00207F51"/>
    <w:rsid w:val="00214B21"/>
    <w:rsid w:val="00222521"/>
    <w:rsid w:val="00226180"/>
    <w:rsid w:val="0022637E"/>
    <w:rsid w:val="00227EAF"/>
    <w:rsid w:val="00231FF1"/>
    <w:rsid w:val="00236926"/>
    <w:rsid w:val="002535E6"/>
    <w:rsid w:val="002568EE"/>
    <w:rsid w:val="002631F4"/>
    <w:rsid w:val="00273F47"/>
    <w:rsid w:val="00280EDB"/>
    <w:rsid w:val="00283DAB"/>
    <w:rsid w:val="00287A4C"/>
    <w:rsid w:val="00292B27"/>
    <w:rsid w:val="00294755"/>
    <w:rsid w:val="00294FFE"/>
    <w:rsid w:val="00295B86"/>
    <w:rsid w:val="00297A0D"/>
    <w:rsid w:val="002A0444"/>
    <w:rsid w:val="002A45F6"/>
    <w:rsid w:val="002A4AC2"/>
    <w:rsid w:val="002C70BB"/>
    <w:rsid w:val="002D223E"/>
    <w:rsid w:val="002D7EA2"/>
    <w:rsid w:val="002E1176"/>
    <w:rsid w:val="002E7E2E"/>
    <w:rsid w:val="002F098B"/>
    <w:rsid w:val="002F4C18"/>
    <w:rsid w:val="00310425"/>
    <w:rsid w:val="003137B5"/>
    <w:rsid w:val="00326A01"/>
    <w:rsid w:val="003311A5"/>
    <w:rsid w:val="00333207"/>
    <w:rsid w:val="00334B4B"/>
    <w:rsid w:val="003376A1"/>
    <w:rsid w:val="003400B3"/>
    <w:rsid w:val="00342E33"/>
    <w:rsid w:val="0034690C"/>
    <w:rsid w:val="003567EA"/>
    <w:rsid w:val="00365F6C"/>
    <w:rsid w:val="003715F0"/>
    <w:rsid w:val="00377509"/>
    <w:rsid w:val="0038600D"/>
    <w:rsid w:val="00393561"/>
    <w:rsid w:val="00394870"/>
    <w:rsid w:val="00396111"/>
    <w:rsid w:val="003A21A1"/>
    <w:rsid w:val="003A32D1"/>
    <w:rsid w:val="003B315B"/>
    <w:rsid w:val="003B327F"/>
    <w:rsid w:val="003B4EAF"/>
    <w:rsid w:val="003B5AA5"/>
    <w:rsid w:val="003B7638"/>
    <w:rsid w:val="003C16B4"/>
    <w:rsid w:val="003C1C5D"/>
    <w:rsid w:val="003C1F99"/>
    <w:rsid w:val="003C5C39"/>
    <w:rsid w:val="003C716F"/>
    <w:rsid w:val="003C7D56"/>
    <w:rsid w:val="003D04C0"/>
    <w:rsid w:val="003D3C99"/>
    <w:rsid w:val="003D4401"/>
    <w:rsid w:val="003D444B"/>
    <w:rsid w:val="003D627E"/>
    <w:rsid w:val="003E1348"/>
    <w:rsid w:val="003E1FAA"/>
    <w:rsid w:val="003E3832"/>
    <w:rsid w:val="003E53B0"/>
    <w:rsid w:val="003F18A0"/>
    <w:rsid w:val="003F1E64"/>
    <w:rsid w:val="00400DAC"/>
    <w:rsid w:val="00401B6E"/>
    <w:rsid w:val="00402EF6"/>
    <w:rsid w:val="00403206"/>
    <w:rsid w:val="0041247D"/>
    <w:rsid w:val="00422A1F"/>
    <w:rsid w:val="0042404A"/>
    <w:rsid w:val="004249D7"/>
    <w:rsid w:val="00425070"/>
    <w:rsid w:val="004317C4"/>
    <w:rsid w:val="00432C16"/>
    <w:rsid w:val="00440B8E"/>
    <w:rsid w:val="0046595B"/>
    <w:rsid w:val="0046775D"/>
    <w:rsid w:val="00470601"/>
    <w:rsid w:val="00474CD1"/>
    <w:rsid w:val="004768CB"/>
    <w:rsid w:val="00485AC3"/>
    <w:rsid w:val="00485DBD"/>
    <w:rsid w:val="00490821"/>
    <w:rsid w:val="00490AB7"/>
    <w:rsid w:val="0049563C"/>
    <w:rsid w:val="004968AF"/>
    <w:rsid w:val="004B1A52"/>
    <w:rsid w:val="004B387A"/>
    <w:rsid w:val="004C0CA0"/>
    <w:rsid w:val="004C0E67"/>
    <w:rsid w:val="004C1E42"/>
    <w:rsid w:val="004C29FA"/>
    <w:rsid w:val="004C3D74"/>
    <w:rsid w:val="004C6421"/>
    <w:rsid w:val="004D0DA9"/>
    <w:rsid w:val="004D3F20"/>
    <w:rsid w:val="004D7405"/>
    <w:rsid w:val="004E23A1"/>
    <w:rsid w:val="004E2E26"/>
    <w:rsid w:val="004E6586"/>
    <w:rsid w:val="004E7E52"/>
    <w:rsid w:val="0050331A"/>
    <w:rsid w:val="005050A7"/>
    <w:rsid w:val="00506EFD"/>
    <w:rsid w:val="005132E6"/>
    <w:rsid w:val="00514FB5"/>
    <w:rsid w:val="005166CC"/>
    <w:rsid w:val="00516C9F"/>
    <w:rsid w:val="0052116C"/>
    <w:rsid w:val="005268A1"/>
    <w:rsid w:val="005330EE"/>
    <w:rsid w:val="0054036E"/>
    <w:rsid w:val="00544DE3"/>
    <w:rsid w:val="00550BFD"/>
    <w:rsid w:val="00550C8F"/>
    <w:rsid w:val="005517F1"/>
    <w:rsid w:val="00554E64"/>
    <w:rsid w:val="00555E35"/>
    <w:rsid w:val="00557195"/>
    <w:rsid w:val="0056419F"/>
    <w:rsid w:val="00573038"/>
    <w:rsid w:val="00580FF9"/>
    <w:rsid w:val="005A2AAD"/>
    <w:rsid w:val="005B64F5"/>
    <w:rsid w:val="005B7E24"/>
    <w:rsid w:val="005C2C03"/>
    <w:rsid w:val="005C3706"/>
    <w:rsid w:val="005C6A2C"/>
    <w:rsid w:val="005C6B2C"/>
    <w:rsid w:val="005C7FAE"/>
    <w:rsid w:val="005E0DDE"/>
    <w:rsid w:val="005E1CDF"/>
    <w:rsid w:val="005E2238"/>
    <w:rsid w:val="005E5D67"/>
    <w:rsid w:val="005E7B1C"/>
    <w:rsid w:val="005F46D9"/>
    <w:rsid w:val="006030F0"/>
    <w:rsid w:val="00603D18"/>
    <w:rsid w:val="0060428F"/>
    <w:rsid w:val="00604B96"/>
    <w:rsid w:val="00621E0F"/>
    <w:rsid w:val="0062583A"/>
    <w:rsid w:val="006317D0"/>
    <w:rsid w:val="00635652"/>
    <w:rsid w:val="006408B4"/>
    <w:rsid w:val="00643B5F"/>
    <w:rsid w:val="00645A1A"/>
    <w:rsid w:val="00650A29"/>
    <w:rsid w:val="00656F12"/>
    <w:rsid w:val="006579C8"/>
    <w:rsid w:val="006607BA"/>
    <w:rsid w:val="0068262A"/>
    <w:rsid w:val="00683E1E"/>
    <w:rsid w:val="00694FD1"/>
    <w:rsid w:val="00695009"/>
    <w:rsid w:val="006966E6"/>
    <w:rsid w:val="00697BBA"/>
    <w:rsid w:val="006A3CF9"/>
    <w:rsid w:val="006A5038"/>
    <w:rsid w:val="006B6F52"/>
    <w:rsid w:val="006C6B03"/>
    <w:rsid w:val="006D19DD"/>
    <w:rsid w:val="006D37E4"/>
    <w:rsid w:val="006D6816"/>
    <w:rsid w:val="00700BF4"/>
    <w:rsid w:val="0070173D"/>
    <w:rsid w:val="007078FB"/>
    <w:rsid w:val="007135E7"/>
    <w:rsid w:val="007145EC"/>
    <w:rsid w:val="0071663C"/>
    <w:rsid w:val="00717C5A"/>
    <w:rsid w:val="00724864"/>
    <w:rsid w:val="00725F8C"/>
    <w:rsid w:val="00734E24"/>
    <w:rsid w:val="00751346"/>
    <w:rsid w:val="00752CDB"/>
    <w:rsid w:val="007536F8"/>
    <w:rsid w:val="0075485D"/>
    <w:rsid w:val="0076076C"/>
    <w:rsid w:val="00763F33"/>
    <w:rsid w:val="00766446"/>
    <w:rsid w:val="00766D9B"/>
    <w:rsid w:val="007707FC"/>
    <w:rsid w:val="0077323D"/>
    <w:rsid w:val="00774FA3"/>
    <w:rsid w:val="007808AC"/>
    <w:rsid w:val="00780D4A"/>
    <w:rsid w:val="0078507E"/>
    <w:rsid w:val="0079375F"/>
    <w:rsid w:val="0079390B"/>
    <w:rsid w:val="00793F20"/>
    <w:rsid w:val="007949E9"/>
    <w:rsid w:val="007A01FD"/>
    <w:rsid w:val="007A34E6"/>
    <w:rsid w:val="007A35D8"/>
    <w:rsid w:val="007B150D"/>
    <w:rsid w:val="007B7018"/>
    <w:rsid w:val="007C1005"/>
    <w:rsid w:val="007C2B9C"/>
    <w:rsid w:val="007D1C9D"/>
    <w:rsid w:val="007D28A0"/>
    <w:rsid w:val="007D64BC"/>
    <w:rsid w:val="007E030B"/>
    <w:rsid w:val="007E4767"/>
    <w:rsid w:val="007F09AE"/>
    <w:rsid w:val="00801725"/>
    <w:rsid w:val="00801F37"/>
    <w:rsid w:val="008124D3"/>
    <w:rsid w:val="00813FA0"/>
    <w:rsid w:val="00815CC8"/>
    <w:rsid w:val="0081669F"/>
    <w:rsid w:val="0081694C"/>
    <w:rsid w:val="008234FD"/>
    <w:rsid w:val="008255D6"/>
    <w:rsid w:val="00825AAF"/>
    <w:rsid w:val="00835C64"/>
    <w:rsid w:val="00836B40"/>
    <w:rsid w:val="008457E4"/>
    <w:rsid w:val="008477FD"/>
    <w:rsid w:val="008514C2"/>
    <w:rsid w:val="00852452"/>
    <w:rsid w:val="00854ADA"/>
    <w:rsid w:val="00863E15"/>
    <w:rsid w:val="008654D8"/>
    <w:rsid w:val="008657B8"/>
    <w:rsid w:val="008709F5"/>
    <w:rsid w:val="00875F75"/>
    <w:rsid w:val="00876A7C"/>
    <w:rsid w:val="00881848"/>
    <w:rsid w:val="008870A7"/>
    <w:rsid w:val="008872A2"/>
    <w:rsid w:val="008900B1"/>
    <w:rsid w:val="0089040C"/>
    <w:rsid w:val="00891DC7"/>
    <w:rsid w:val="008959D8"/>
    <w:rsid w:val="008960A5"/>
    <w:rsid w:val="008A35AC"/>
    <w:rsid w:val="008A5673"/>
    <w:rsid w:val="008B7ABA"/>
    <w:rsid w:val="008C3848"/>
    <w:rsid w:val="008D0357"/>
    <w:rsid w:val="008D03BC"/>
    <w:rsid w:val="008D3084"/>
    <w:rsid w:val="008D45CA"/>
    <w:rsid w:val="008D6811"/>
    <w:rsid w:val="008E1076"/>
    <w:rsid w:val="008E1C8A"/>
    <w:rsid w:val="008E2DAC"/>
    <w:rsid w:val="008E4861"/>
    <w:rsid w:val="008F6093"/>
    <w:rsid w:val="008F6B40"/>
    <w:rsid w:val="009021B0"/>
    <w:rsid w:val="0091031B"/>
    <w:rsid w:val="009116BD"/>
    <w:rsid w:val="009223ED"/>
    <w:rsid w:val="00925464"/>
    <w:rsid w:val="00927133"/>
    <w:rsid w:val="009325B1"/>
    <w:rsid w:val="0093633C"/>
    <w:rsid w:val="00940939"/>
    <w:rsid w:val="00941AA1"/>
    <w:rsid w:val="00943CB4"/>
    <w:rsid w:val="00945F65"/>
    <w:rsid w:val="0095627E"/>
    <w:rsid w:val="00961361"/>
    <w:rsid w:val="0097236E"/>
    <w:rsid w:val="0098727B"/>
    <w:rsid w:val="00990076"/>
    <w:rsid w:val="00997EFB"/>
    <w:rsid w:val="009A5D9F"/>
    <w:rsid w:val="009B0810"/>
    <w:rsid w:val="009B140C"/>
    <w:rsid w:val="009B46D5"/>
    <w:rsid w:val="009B5308"/>
    <w:rsid w:val="009B58D2"/>
    <w:rsid w:val="009C3FFC"/>
    <w:rsid w:val="009D17B8"/>
    <w:rsid w:val="00A039CB"/>
    <w:rsid w:val="00A046AC"/>
    <w:rsid w:val="00A04864"/>
    <w:rsid w:val="00A24C20"/>
    <w:rsid w:val="00A31864"/>
    <w:rsid w:val="00A35385"/>
    <w:rsid w:val="00A3565D"/>
    <w:rsid w:val="00A41525"/>
    <w:rsid w:val="00A43AD5"/>
    <w:rsid w:val="00A479AB"/>
    <w:rsid w:val="00A560A0"/>
    <w:rsid w:val="00A578B3"/>
    <w:rsid w:val="00A73BF5"/>
    <w:rsid w:val="00A7761B"/>
    <w:rsid w:val="00A87A61"/>
    <w:rsid w:val="00A9723B"/>
    <w:rsid w:val="00AA2E9F"/>
    <w:rsid w:val="00AB2162"/>
    <w:rsid w:val="00AB6801"/>
    <w:rsid w:val="00AC0644"/>
    <w:rsid w:val="00AD474A"/>
    <w:rsid w:val="00AD6D70"/>
    <w:rsid w:val="00AE0D05"/>
    <w:rsid w:val="00AE11CF"/>
    <w:rsid w:val="00AE5567"/>
    <w:rsid w:val="00AF442E"/>
    <w:rsid w:val="00B006C6"/>
    <w:rsid w:val="00B02159"/>
    <w:rsid w:val="00B04B55"/>
    <w:rsid w:val="00B10E6D"/>
    <w:rsid w:val="00B11255"/>
    <w:rsid w:val="00B12EF0"/>
    <w:rsid w:val="00B1540C"/>
    <w:rsid w:val="00B22114"/>
    <w:rsid w:val="00B228D7"/>
    <w:rsid w:val="00B22D6D"/>
    <w:rsid w:val="00B311B0"/>
    <w:rsid w:val="00B31A94"/>
    <w:rsid w:val="00B31AC5"/>
    <w:rsid w:val="00B34CC5"/>
    <w:rsid w:val="00B372D6"/>
    <w:rsid w:val="00B40448"/>
    <w:rsid w:val="00B41284"/>
    <w:rsid w:val="00B47054"/>
    <w:rsid w:val="00B50622"/>
    <w:rsid w:val="00B51A83"/>
    <w:rsid w:val="00B55442"/>
    <w:rsid w:val="00B561B6"/>
    <w:rsid w:val="00B72306"/>
    <w:rsid w:val="00B73E24"/>
    <w:rsid w:val="00B7681F"/>
    <w:rsid w:val="00B76A91"/>
    <w:rsid w:val="00B81A40"/>
    <w:rsid w:val="00B81BD5"/>
    <w:rsid w:val="00B85512"/>
    <w:rsid w:val="00B8627E"/>
    <w:rsid w:val="00B92F02"/>
    <w:rsid w:val="00B95F8A"/>
    <w:rsid w:val="00B96757"/>
    <w:rsid w:val="00BA1AD6"/>
    <w:rsid w:val="00BA308E"/>
    <w:rsid w:val="00BA453E"/>
    <w:rsid w:val="00BA7212"/>
    <w:rsid w:val="00BB5697"/>
    <w:rsid w:val="00BD4560"/>
    <w:rsid w:val="00BD49A2"/>
    <w:rsid w:val="00BD5E16"/>
    <w:rsid w:val="00BE63F9"/>
    <w:rsid w:val="00BF0F74"/>
    <w:rsid w:val="00BF1059"/>
    <w:rsid w:val="00C05A4C"/>
    <w:rsid w:val="00C05BB1"/>
    <w:rsid w:val="00C077EF"/>
    <w:rsid w:val="00C12B87"/>
    <w:rsid w:val="00C20BA1"/>
    <w:rsid w:val="00C31B28"/>
    <w:rsid w:val="00C32D68"/>
    <w:rsid w:val="00C43D98"/>
    <w:rsid w:val="00C45CB3"/>
    <w:rsid w:val="00C502FA"/>
    <w:rsid w:val="00C514E4"/>
    <w:rsid w:val="00C6073A"/>
    <w:rsid w:val="00C60F01"/>
    <w:rsid w:val="00C62017"/>
    <w:rsid w:val="00C66AF7"/>
    <w:rsid w:val="00C825C2"/>
    <w:rsid w:val="00C82909"/>
    <w:rsid w:val="00C8542A"/>
    <w:rsid w:val="00C90067"/>
    <w:rsid w:val="00C93C98"/>
    <w:rsid w:val="00C95D57"/>
    <w:rsid w:val="00CB4671"/>
    <w:rsid w:val="00CB69A2"/>
    <w:rsid w:val="00CC2BD0"/>
    <w:rsid w:val="00CC4A15"/>
    <w:rsid w:val="00CD2761"/>
    <w:rsid w:val="00CD3D86"/>
    <w:rsid w:val="00CD57A4"/>
    <w:rsid w:val="00CD6B62"/>
    <w:rsid w:val="00CD76AE"/>
    <w:rsid w:val="00CD78A1"/>
    <w:rsid w:val="00CE6367"/>
    <w:rsid w:val="00CE6CB6"/>
    <w:rsid w:val="00CE72E7"/>
    <w:rsid w:val="00CF3959"/>
    <w:rsid w:val="00CF62F0"/>
    <w:rsid w:val="00D00C95"/>
    <w:rsid w:val="00D02723"/>
    <w:rsid w:val="00D02EC2"/>
    <w:rsid w:val="00D13314"/>
    <w:rsid w:val="00D155AF"/>
    <w:rsid w:val="00D15F16"/>
    <w:rsid w:val="00D24723"/>
    <w:rsid w:val="00D30EC7"/>
    <w:rsid w:val="00D410F3"/>
    <w:rsid w:val="00D458D2"/>
    <w:rsid w:val="00D6305A"/>
    <w:rsid w:val="00D73609"/>
    <w:rsid w:val="00D76E52"/>
    <w:rsid w:val="00D7731E"/>
    <w:rsid w:val="00D8530B"/>
    <w:rsid w:val="00D85FE5"/>
    <w:rsid w:val="00D90C20"/>
    <w:rsid w:val="00D94DF9"/>
    <w:rsid w:val="00D96599"/>
    <w:rsid w:val="00D97465"/>
    <w:rsid w:val="00DA2CEB"/>
    <w:rsid w:val="00DA443C"/>
    <w:rsid w:val="00DB36DE"/>
    <w:rsid w:val="00DB5BDF"/>
    <w:rsid w:val="00DC0AD9"/>
    <w:rsid w:val="00DC3EF3"/>
    <w:rsid w:val="00DC4D3B"/>
    <w:rsid w:val="00DD20A1"/>
    <w:rsid w:val="00DD6C65"/>
    <w:rsid w:val="00DE0D2F"/>
    <w:rsid w:val="00DE316D"/>
    <w:rsid w:val="00DE4A3D"/>
    <w:rsid w:val="00DE4E7E"/>
    <w:rsid w:val="00DF06DC"/>
    <w:rsid w:val="00DF2974"/>
    <w:rsid w:val="00DF3F58"/>
    <w:rsid w:val="00DF6F1A"/>
    <w:rsid w:val="00E024BC"/>
    <w:rsid w:val="00E028A8"/>
    <w:rsid w:val="00E11883"/>
    <w:rsid w:val="00E149D9"/>
    <w:rsid w:val="00E15DA6"/>
    <w:rsid w:val="00E20606"/>
    <w:rsid w:val="00E23464"/>
    <w:rsid w:val="00E30806"/>
    <w:rsid w:val="00E31A2B"/>
    <w:rsid w:val="00E31E4C"/>
    <w:rsid w:val="00E33CBD"/>
    <w:rsid w:val="00E37666"/>
    <w:rsid w:val="00E51EA7"/>
    <w:rsid w:val="00E571B9"/>
    <w:rsid w:val="00E65C20"/>
    <w:rsid w:val="00E66098"/>
    <w:rsid w:val="00E674E2"/>
    <w:rsid w:val="00E677FE"/>
    <w:rsid w:val="00E72F94"/>
    <w:rsid w:val="00E73E29"/>
    <w:rsid w:val="00E8584B"/>
    <w:rsid w:val="00E87515"/>
    <w:rsid w:val="00E90903"/>
    <w:rsid w:val="00EB1CE5"/>
    <w:rsid w:val="00EB5850"/>
    <w:rsid w:val="00EB5DE4"/>
    <w:rsid w:val="00EB6378"/>
    <w:rsid w:val="00EC2FD3"/>
    <w:rsid w:val="00EE066D"/>
    <w:rsid w:val="00EE2249"/>
    <w:rsid w:val="00EE3FC9"/>
    <w:rsid w:val="00EF5066"/>
    <w:rsid w:val="00EF5163"/>
    <w:rsid w:val="00EF77C0"/>
    <w:rsid w:val="00F02509"/>
    <w:rsid w:val="00F03922"/>
    <w:rsid w:val="00F04980"/>
    <w:rsid w:val="00F075BD"/>
    <w:rsid w:val="00F1081F"/>
    <w:rsid w:val="00F12359"/>
    <w:rsid w:val="00F13A65"/>
    <w:rsid w:val="00F20729"/>
    <w:rsid w:val="00F26EBD"/>
    <w:rsid w:val="00F27BCD"/>
    <w:rsid w:val="00F350CE"/>
    <w:rsid w:val="00F40F9A"/>
    <w:rsid w:val="00F47DFD"/>
    <w:rsid w:val="00F50B54"/>
    <w:rsid w:val="00F579CF"/>
    <w:rsid w:val="00F61803"/>
    <w:rsid w:val="00F62DC3"/>
    <w:rsid w:val="00F670D3"/>
    <w:rsid w:val="00F809CA"/>
    <w:rsid w:val="00F94ABE"/>
    <w:rsid w:val="00FA335A"/>
    <w:rsid w:val="00FB24C0"/>
    <w:rsid w:val="00FB5268"/>
    <w:rsid w:val="00FB76C0"/>
    <w:rsid w:val="00FC136A"/>
    <w:rsid w:val="00FC1902"/>
    <w:rsid w:val="00FC6A63"/>
    <w:rsid w:val="00FC7782"/>
    <w:rsid w:val="00FD3547"/>
    <w:rsid w:val="00FD5DB4"/>
    <w:rsid w:val="00FD62B8"/>
    <w:rsid w:val="00FD70AA"/>
    <w:rsid w:val="00FE08B6"/>
    <w:rsid w:val="00FE4A6D"/>
    <w:rsid w:val="00FF3E7A"/>
    <w:rsid w:val="00FF3FB1"/>
    <w:rsid w:val="00FF454B"/>
    <w:rsid w:val="00FF4A79"/>
    <w:rsid w:val="00FF6A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996F4"/>
  <w15:docId w15:val="{0CA3D0B2-B673-47CC-866C-B93B79FB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B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62B8"/>
    <w:pPr>
      <w:tabs>
        <w:tab w:val="center" w:pos="4680"/>
        <w:tab w:val="right" w:pos="9360"/>
      </w:tabs>
    </w:pPr>
  </w:style>
  <w:style w:type="character" w:customStyle="1" w:styleId="FooterChar">
    <w:name w:val="Footer Char"/>
    <w:basedOn w:val="DefaultParagraphFont"/>
    <w:link w:val="Footer"/>
    <w:uiPriority w:val="99"/>
    <w:rsid w:val="00FD62B8"/>
    <w:rPr>
      <w:rFonts w:ascii="Times New Roman" w:eastAsia="Times New Roman" w:hAnsi="Times New Roman" w:cs="Times New Roman"/>
      <w:sz w:val="28"/>
      <w:szCs w:val="28"/>
    </w:rPr>
  </w:style>
  <w:style w:type="paragraph" w:styleId="ListParagraph">
    <w:name w:val="List Paragraph"/>
    <w:basedOn w:val="Normal"/>
    <w:uiPriority w:val="34"/>
    <w:qFormat/>
    <w:rsid w:val="00B11255"/>
    <w:pPr>
      <w:ind w:left="720"/>
      <w:contextualSpacing/>
    </w:pPr>
  </w:style>
  <w:style w:type="paragraph" w:styleId="Header">
    <w:name w:val="header"/>
    <w:basedOn w:val="Normal"/>
    <w:link w:val="HeaderChar"/>
    <w:uiPriority w:val="99"/>
    <w:unhideWhenUsed/>
    <w:rsid w:val="00FD3547"/>
    <w:pPr>
      <w:tabs>
        <w:tab w:val="center" w:pos="4680"/>
        <w:tab w:val="right" w:pos="9360"/>
      </w:tabs>
    </w:pPr>
  </w:style>
  <w:style w:type="character" w:customStyle="1" w:styleId="HeaderChar">
    <w:name w:val="Header Char"/>
    <w:basedOn w:val="DefaultParagraphFont"/>
    <w:link w:val="Header"/>
    <w:uiPriority w:val="99"/>
    <w:rsid w:val="00FD3547"/>
    <w:rPr>
      <w:rFonts w:ascii="Times New Roman" w:eastAsia="Times New Roman" w:hAnsi="Times New Roman" w:cs="Times New Roman"/>
      <w:sz w:val="28"/>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
    <w:basedOn w:val="Normal"/>
    <w:link w:val="FootnoteTextChar"/>
    <w:uiPriority w:val="99"/>
    <w:unhideWhenUsed/>
    <w:qFormat/>
    <w:rsid w:val="0046595B"/>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qFormat/>
    <w:rsid w:val="0046595B"/>
    <w:rPr>
      <w:rFonts w:ascii="Times New Roman" w:eastAsia="Times New Roman" w:hAnsi="Times New Roman" w:cs="Times New Roman"/>
      <w:sz w:val="20"/>
      <w:szCs w:val="20"/>
    </w:rPr>
  </w:style>
  <w:style w:type="character" w:styleId="FootnoteReference">
    <w:name w:val="footnote reference"/>
    <w:uiPriority w:val="99"/>
    <w:unhideWhenUsed/>
    <w:qFormat/>
    <w:rsid w:val="0046595B"/>
    <w:rPr>
      <w:vertAlign w:val="superscript"/>
    </w:rPr>
  </w:style>
  <w:style w:type="paragraph" w:styleId="BodyTextIndent">
    <w:name w:val="Body Text Indent"/>
    <w:basedOn w:val="Normal"/>
    <w:link w:val="BodyTextIndentChar"/>
    <w:rsid w:val="00D02723"/>
    <w:pPr>
      <w:spacing w:after="120"/>
      <w:ind w:left="360"/>
    </w:pPr>
  </w:style>
  <w:style w:type="character" w:customStyle="1" w:styleId="BodyTextIndentChar">
    <w:name w:val="Body Text Indent Char"/>
    <w:basedOn w:val="DefaultParagraphFont"/>
    <w:link w:val="BodyTextIndent"/>
    <w:rsid w:val="00D02723"/>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8A35AC"/>
    <w:rPr>
      <w:rFonts w:ascii="Tahoma" w:hAnsi="Tahoma" w:cs="Tahoma"/>
      <w:sz w:val="16"/>
      <w:szCs w:val="16"/>
    </w:rPr>
  </w:style>
  <w:style w:type="character" w:customStyle="1" w:styleId="BalloonTextChar">
    <w:name w:val="Balloon Text Char"/>
    <w:basedOn w:val="DefaultParagraphFont"/>
    <w:link w:val="BalloonText"/>
    <w:uiPriority w:val="99"/>
    <w:semiHidden/>
    <w:rsid w:val="008A35AC"/>
    <w:rPr>
      <w:rFonts w:ascii="Tahoma" w:eastAsia="Times New Roman" w:hAnsi="Tahoma" w:cs="Tahoma"/>
      <w:sz w:val="16"/>
      <w:szCs w:val="16"/>
    </w:rPr>
  </w:style>
  <w:style w:type="paragraph" w:styleId="BodyText">
    <w:name w:val="Body Text"/>
    <w:basedOn w:val="Normal"/>
    <w:link w:val="BodyTextChar"/>
    <w:uiPriority w:val="99"/>
    <w:semiHidden/>
    <w:unhideWhenUsed/>
    <w:rsid w:val="002A0444"/>
    <w:pPr>
      <w:spacing w:after="120"/>
    </w:pPr>
  </w:style>
  <w:style w:type="character" w:customStyle="1" w:styleId="BodyTextChar">
    <w:name w:val="Body Text Char"/>
    <w:basedOn w:val="DefaultParagraphFont"/>
    <w:link w:val="BodyText"/>
    <w:uiPriority w:val="99"/>
    <w:semiHidden/>
    <w:rsid w:val="002A0444"/>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89040C"/>
    <w:rPr>
      <w:color w:val="0000FF"/>
      <w:u w:val="single"/>
    </w:rPr>
  </w:style>
  <w:style w:type="character" w:customStyle="1" w:styleId="fontstyle01">
    <w:name w:val="fontstyle01"/>
    <w:basedOn w:val="DefaultParagraphFont"/>
    <w:rsid w:val="005F46D9"/>
    <w:rPr>
      <w:rFonts w:ascii="TimesNewRomanPSMT" w:hAnsi="TimesNewRomanPSMT" w:hint="default"/>
      <w:b w:val="0"/>
      <w:bCs w:val="0"/>
      <w:i w:val="0"/>
      <w:iCs w:val="0"/>
      <w:color w:val="000000"/>
      <w:sz w:val="28"/>
      <w:szCs w:val="28"/>
    </w:rPr>
  </w:style>
  <w:style w:type="paragraph" w:customStyle="1" w:styleId="Char">
    <w:name w:val="Char"/>
    <w:autoRedefine/>
    <w:rsid w:val="008709F5"/>
    <w:pPr>
      <w:tabs>
        <w:tab w:val="left" w:pos="1152"/>
      </w:tabs>
      <w:spacing w:before="120" w:after="100" w:afterAutospacing="1" w:line="240" w:lineRule="auto"/>
      <w:ind w:firstLine="839"/>
      <w:jc w:val="both"/>
    </w:pPr>
    <w:rPr>
      <w:rFonts w:ascii="Times New Roman" w:eastAsia="Times New Roman" w:hAnsi="Times New Roman" w:cs="Times New Roman"/>
      <w:sz w:val="28"/>
      <w:szCs w:val="28"/>
    </w:rPr>
  </w:style>
  <w:style w:type="table" w:styleId="TableGrid">
    <w:name w:val="Table Grid"/>
    <w:basedOn w:val="TableNormal"/>
    <w:uiPriority w:val="59"/>
    <w:rsid w:val="00F6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6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7B37-CB53-4D82-ACC6-B89DE55B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8</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565</cp:revision>
  <cp:lastPrinted>2023-07-03T09:31:00Z</cp:lastPrinted>
  <dcterms:created xsi:type="dcterms:W3CDTF">2025-06-05T00:46:00Z</dcterms:created>
  <dcterms:modified xsi:type="dcterms:W3CDTF">2026-05-08T04:36:00Z</dcterms:modified>
</cp:coreProperties>
</file>