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51" w:type="dxa"/>
        <w:tblInd w:w="-34" w:type="dxa"/>
        <w:tblLayout w:type="fixed"/>
        <w:tblLook w:val="0000" w:firstRow="0" w:lastRow="0" w:firstColumn="0" w:lastColumn="0" w:noHBand="0" w:noVBand="0"/>
      </w:tblPr>
      <w:tblGrid>
        <w:gridCol w:w="7122"/>
        <w:gridCol w:w="7229"/>
      </w:tblGrid>
      <w:tr w:rsidR="00350E02" w:rsidRPr="00350E02" w:rsidTr="00135B8A">
        <w:tc>
          <w:tcPr>
            <w:tcW w:w="7122" w:type="dxa"/>
          </w:tcPr>
          <w:p w:rsidR="00135B8A" w:rsidRPr="008C44BD" w:rsidRDefault="00135B8A" w:rsidP="0079261B">
            <w:pPr>
              <w:widowControl w:val="0"/>
              <w:tabs>
                <w:tab w:val="center" w:pos="1843"/>
                <w:tab w:val="center" w:pos="6237"/>
              </w:tabs>
              <w:spacing w:before="60"/>
              <w:jc w:val="center"/>
            </w:pPr>
            <w:r w:rsidRPr="008C44BD">
              <w:t>UBND TỈNH ĐỒNG NAI</w:t>
            </w:r>
          </w:p>
          <w:p w:rsidR="00135B8A" w:rsidRPr="008C44BD" w:rsidRDefault="00135B8A" w:rsidP="0079261B">
            <w:pPr>
              <w:widowControl w:val="0"/>
              <w:tabs>
                <w:tab w:val="center" w:pos="1843"/>
                <w:tab w:val="center" w:pos="6237"/>
              </w:tabs>
              <w:jc w:val="center"/>
            </w:pPr>
            <w:r w:rsidRPr="008C44BD">
              <w:rPr>
                <w:b/>
              </w:rPr>
              <w:t>SỞ TÀI CHÍNH</w:t>
            </w:r>
          </w:p>
          <w:p w:rsidR="00135B8A" w:rsidRPr="008C44BD" w:rsidRDefault="00135B8A" w:rsidP="0079261B">
            <w:pPr>
              <w:widowControl w:val="0"/>
              <w:tabs>
                <w:tab w:val="center" w:pos="1843"/>
                <w:tab w:val="center" w:pos="6237"/>
              </w:tabs>
              <w:jc w:val="center"/>
            </w:pPr>
            <w:r w:rsidRPr="008C44BD">
              <w:t>–––––––––</w:t>
            </w:r>
          </w:p>
          <w:p w:rsidR="00135B8A" w:rsidRPr="008C44BD" w:rsidRDefault="00135B8A" w:rsidP="0079261B">
            <w:pPr>
              <w:widowControl w:val="0"/>
              <w:tabs>
                <w:tab w:val="center" w:pos="1843"/>
                <w:tab w:val="center" w:pos="6237"/>
              </w:tabs>
              <w:jc w:val="center"/>
            </w:pPr>
          </w:p>
        </w:tc>
        <w:tc>
          <w:tcPr>
            <w:tcW w:w="7229" w:type="dxa"/>
          </w:tcPr>
          <w:p w:rsidR="00135B8A" w:rsidRPr="00350E02" w:rsidRDefault="00135B8A" w:rsidP="0079261B">
            <w:pPr>
              <w:widowControl w:val="0"/>
              <w:jc w:val="center"/>
              <w:rPr>
                <w:b/>
                <w:color w:val="000000" w:themeColor="text1"/>
              </w:rPr>
            </w:pPr>
            <w:r w:rsidRPr="00350E02">
              <w:rPr>
                <w:b/>
                <w:color w:val="000000" w:themeColor="text1"/>
              </w:rPr>
              <w:t>CỘNG HÒA XÃ HỘI CHỦ NGHĨA VIỆT NAM</w:t>
            </w:r>
          </w:p>
          <w:p w:rsidR="00135B8A" w:rsidRPr="00350E02" w:rsidRDefault="00135B8A" w:rsidP="0079261B">
            <w:pPr>
              <w:widowControl w:val="0"/>
              <w:jc w:val="center"/>
              <w:rPr>
                <w:b/>
                <w:color w:val="000000" w:themeColor="text1"/>
              </w:rPr>
            </w:pPr>
            <w:r w:rsidRPr="00350E02">
              <w:rPr>
                <w:b/>
                <w:color w:val="000000" w:themeColor="text1"/>
              </w:rPr>
              <w:t>Độc lập - Tự do - Hạnh phúc</w:t>
            </w:r>
          </w:p>
          <w:p w:rsidR="00135B8A" w:rsidRPr="00350E02" w:rsidRDefault="00135B8A" w:rsidP="0079261B">
            <w:pPr>
              <w:widowControl w:val="0"/>
              <w:tabs>
                <w:tab w:val="center" w:pos="1843"/>
                <w:tab w:val="center" w:pos="6237"/>
              </w:tabs>
              <w:jc w:val="center"/>
              <w:rPr>
                <w:b/>
                <w:color w:val="000000" w:themeColor="text1"/>
              </w:rPr>
            </w:pPr>
            <w:r w:rsidRPr="00350E02">
              <w:rPr>
                <w:color w:val="000000" w:themeColor="text1"/>
              </w:rPr>
              <w:t>––––––––––––––––––</w:t>
            </w:r>
          </w:p>
          <w:p w:rsidR="00135B8A" w:rsidRPr="00350E02" w:rsidRDefault="00135B8A" w:rsidP="00350E02">
            <w:pPr>
              <w:widowControl w:val="0"/>
              <w:tabs>
                <w:tab w:val="center" w:pos="1843"/>
                <w:tab w:val="center" w:pos="6237"/>
              </w:tabs>
              <w:spacing w:before="60" w:after="60"/>
              <w:jc w:val="center"/>
              <w:rPr>
                <w:b/>
                <w:color w:val="000000" w:themeColor="text1"/>
              </w:rPr>
            </w:pPr>
            <w:r w:rsidRPr="00350E02">
              <w:rPr>
                <w:b/>
                <w:color w:val="000000" w:themeColor="text1"/>
              </w:rPr>
              <w:softHyphen/>
            </w:r>
            <w:r w:rsidRPr="00350E02">
              <w:rPr>
                <w:b/>
                <w:color w:val="000000" w:themeColor="text1"/>
              </w:rPr>
              <w:softHyphen/>
            </w:r>
            <w:r w:rsidR="00B8175C">
              <w:rPr>
                <w:i/>
                <w:color w:val="000000" w:themeColor="text1"/>
              </w:rPr>
              <w:t xml:space="preserve">Đồng Nai, ngày      </w:t>
            </w:r>
            <w:r w:rsidRPr="00350E02">
              <w:rPr>
                <w:i/>
                <w:color w:val="000000" w:themeColor="text1"/>
              </w:rPr>
              <w:t xml:space="preserve"> tháng </w:t>
            </w:r>
            <w:r w:rsidR="00B8175C">
              <w:rPr>
                <w:i/>
                <w:color w:val="000000" w:themeColor="text1"/>
              </w:rPr>
              <w:t xml:space="preserve">     </w:t>
            </w:r>
            <w:r w:rsidRPr="00350E02">
              <w:rPr>
                <w:i/>
                <w:color w:val="000000" w:themeColor="text1"/>
              </w:rPr>
              <w:t>năm 202</w:t>
            </w:r>
            <w:r w:rsidR="00B8175C">
              <w:rPr>
                <w:i/>
                <w:color w:val="000000" w:themeColor="text1"/>
              </w:rPr>
              <w:t>6</w:t>
            </w:r>
          </w:p>
        </w:tc>
      </w:tr>
    </w:tbl>
    <w:p w:rsidR="00D86025" w:rsidRPr="00135B8A" w:rsidRDefault="00135B8A" w:rsidP="0079261B">
      <w:pPr>
        <w:widowControl w:val="0"/>
        <w:tabs>
          <w:tab w:val="center" w:pos="1843"/>
          <w:tab w:val="center" w:pos="6237"/>
        </w:tabs>
        <w:spacing w:before="360" w:after="240"/>
        <w:jc w:val="center"/>
        <w:rPr>
          <w:b/>
        </w:rPr>
      </w:pPr>
      <w:r w:rsidRPr="00135B8A">
        <w:rPr>
          <w:b/>
        </w:rPr>
        <w:t xml:space="preserve">BẢN SO SÁNH, THUYẾT MINH NỘI DUNG DỰ THẢO QUYẾT ĐỊNH QUY ĐỊNH </w:t>
      </w:r>
      <w:r w:rsidR="00B8175C" w:rsidRPr="00B8175C">
        <w:rPr>
          <w:b/>
        </w:rPr>
        <w:t>CHÍNH SÁCH ƯU ĐÃI TIỀN THUÊ NHÀ CHO CÁC ĐỐI TƯỢNG ƯU TIÊN TRÊN ĐỊA BÀN TỈNH ĐỒNG NAI</w:t>
      </w:r>
    </w:p>
    <w:tbl>
      <w:tblPr>
        <w:tblStyle w:val="TableGrid"/>
        <w:tblW w:w="14312" w:type="dxa"/>
        <w:tblLook w:val="04A0" w:firstRow="1" w:lastRow="0" w:firstColumn="1" w:lastColumn="0" w:noHBand="0" w:noVBand="1"/>
      </w:tblPr>
      <w:tblGrid>
        <w:gridCol w:w="4673"/>
        <w:gridCol w:w="5528"/>
        <w:gridCol w:w="4111"/>
      </w:tblGrid>
      <w:tr w:rsidR="003714F5" w:rsidRPr="00135B8A" w:rsidTr="00C45DA2">
        <w:trPr>
          <w:tblHeader/>
        </w:trPr>
        <w:tc>
          <w:tcPr>
            <w:tcW w:w="4673" w:type="dxa"/>
            <w:vAlign w:val="center"/>
          </w:tcPr>
          <w:p w:rsidR="003714F5" w:rsidRPr="00135B8A" w:rsidRDefault="003714F5" w:rsidP="003714F5">
            <w:pPr>
              <w:widowControl w:val="0"/>
              <w:tabs>
                <w:tab w:val="left" w:pos="1520"/>
                <w:tab w:val="center" w:pos="1843"/>
                <w:tab w:val="center" w:pos="6237"/>
              </w:tabs>
              <w:spacing w:before="60" w:after="60"/>
              <w:jc w:val="center"/>
              <w:rPr>
                <w:b/>
                <w:sz w:val="22"/>
                <w:szCs w:val="22"/>
              </w:rPr>
            </w:pPr>
            <w:r w:rsidRPr="00B8175C">
              <w:rPr>
                <w:b/>
                <w:sz w:val="22"/>
                <w:szCs w:val="22"/>
              </w:rPr>
              <w:t>Nghị định số 108/2024/NĐ-CP được sửa đổi, bổ sung bởi Nghị định số 286/2025/NĐ-CP</w:t>
            </w:r>
          </w:p>
        </w:tc>
        <w:tc>
          <w:tcPr>
            <w:tcW w:w="5528" w:type="dxa"/>
            <w:vAlign w:val="center"/>
          </w:tcPr>
          <w:p w:rsidR="003714F5" w:rsidRPr="00135B8A" w:rsidRDefault="003714F5" w:rsidP="00137BC4">
            <w:pPr>
              <w:widowControl w:val="0"/>
              <w:tabs>
                <w:tab w:val="center" w:pos="1843"/>
                <w:tab w:val="center" w:pos="6237"/>
              </w:tabs>
              <w:spacing w:before="60" w:after="60"/>
              <w:jc w:val="center"/>
              <w:rPr>
                <w:b/>
                <w:sz w:val="22"/>
                <w:szCs w:val="22"/>
              </w:rPr>
            </w:pPr>
            <w:r w:rsidRPr="00135B8A">
              <w:rPr>
                <w:b/>
                <w:sz w:val="22"/>
                <w:szCs w:val="22"/>
              </w:rPr>
              <w:t>Dự thảo Quyết định</w:t>
            </w:r>
          </w:p>
        </w:tc>
        <w:tc>
          <w:tcPr>
            <w:tcW w:w="4111" w:type="dxa"/>
            <w:vAlign w:val="center"/>
          </w:tcPr>
          <w:p w:rsidR="003714F5" w:rsidRPr="00135B8A" w:rsidRDefault="003714F5" w:rsidP="0079261B">
            <w:pPr>
              <w:widowControl w:val="0"/>
              <w:tabs>
                <w:tab w:val="center" w:pos="1843"/>
                <w:tab w:val="center" w:pos="6237"/>
              </w:tabs>
              <w:spacing w:before="60" w:after="60"/>
              <w:jc w:val="center"/>
              <w:rPr>
                <w:b/>
                <w:sz w:val="22"/>
                <w:szCs w:val="22"/>
              </w:rPr>
            </w:pPr>
            <w:r>
              <w:rPr>
                <w:b/>
                <w:sz w:val="22"/>
                <w:szCs w:val="22"/>
              </w:rPr>
              <w:t>Thuyết minh</w:t>
            </w:r>
          </w:p>
        </w:tc>
      </w:tr>
      <w:tr w:rsidR="007D43A3" w:rsidRPr="00135B8A" w:rsidTr="00C45DA2">
        <w:trPr>
          <w:trHeight w:val="4775"/>
        </w:trPr>
        <w:tc>
          <w:tcPr>
            <w:tcW w:w="4673" w:type="dxa"/>
            <w:vMerge w:val="restart"/>
          </w:tcPr>
          <w:p w:rsidR="007D43A3" w:rsidRPr="003714F5" w:rsidRDefault="007D43A3" w:rsidP="003714F5">
            <w:pPr>
              <w:widowControl w:val="0"/>
              <w:tabs>
                <w:tab w:val="center" w:pos="1843"/>
                <w:tab w:val="center" w:pos="6237"/>
              </w:tabs>
              <w:spacing w:before="60" w:after="60"/>
              <w:jc w:val="both"/>
              <w:rPr>
                <w:b/>
                <w:sz w:val="22"/>
                <w:szCs w:val="22"/>
              </w:rPr>
            </w:pPr>
            <w:r w:rsidRPr="003714F5">
              <w:rPr>
                <w:b/>
                <w:sz w:val="22"/>
                <w:szCs w:val="22"/>
              </w:rPr>
              <w:t>Điều 10. Phương thức cho thuê nhà</w:t>
            </w:r>
          </w:p>
          <w:p w:rsidR="007D43A3" w:rsidRPr="003714F5" w:rsidRDefault="007D43A3" w:rsidP="003714F5">
            <w:pPr>
              <w:widowControl w:val="0"/>
              <w:tabs>
                <w:tab w:val="center" w:pos="1843"/>
                <w:tab w:val="center" w:pos="6237"/>
              </w:tabs>
              <w:spacing w:before="60" w:after="60"/>
              <w:jc w:val="both"/>
              <w:rPr>
                <w:sz w:val="22"/>
                <w:szCs w:val="22"/>
              </w:rPr>
            </w:pPr>
            <w:r w:rsidRPr="003714F5">
              <w:rPr>
                <w:sz w:val="22"/>
                <w:szCs w:val="22"/>
              </w:rPr>
              <w:t>2. Việc cho thuê nhà được thực hiện theo phương thức niêm yết giá đối với các trường hợp sau đây:</w:t>
            </w:r>
          </w:p>
          <w:p w:rsidR="007D43A3" w:rsidRPr="003714F5" w:rsidRDefault="007D43A3" w:rsidP="003714F5">
            <w:pPr>
              <w:widowControl w:val="0"/>
              <w:tabs>
                <w:tab w:val="center" w:pos="1843"/>
                <w:tab w:val="center" w:pos="6237"/>
              </w:tabs>
              <w:spacing w:before="60" w:after="60"/>
              <w:jc w:val="both"/>
              <w:rPr>
                <w:sz w:val="22"/>
                <w:szCs w:val="22"/>
              </w:rPr>
            </w:pPr>
            <w:r w:rsidRPr="003714F5">
              <w:rPr>
                <w:sz w:val="22"/>
                <w:szCs w:val="22"/>
              </w:rPr>
              <w:t xml:space="preserve"> a) Cho các đối tượng ưu tiên thuê nhà, gồm:</w:t>
            </w:r>
          </w:p>
          <w:p w:rsidR="007D43A3" w:rsidRDefault="007D43A3" w:rsidP="003714F5">
            <w:pPr>
              <w:widowControl w:val="0"/>
              <w:tabs>
                <w:tab w:val="center" w:pos="1843"/>
                <w:tab w:val="center" w:pos="6237"/>
              </w:tabs>
              <w:spacing w:before="60" w:after="60"/>
              <w:jc w:val="both"/>
              <w:rPr>
                <w:sz w:val="22"/>
                <w:szCs w:val="22"/>
              </w:rPr>
            </w:pPr>
            <w:r w:rsidRPr="003714F5">
              <w:rPr>
                <w:sz w:val="22"/>
                <w:szCs w:val="22"/>
              </w:rPr>
              <w:t>Tổ chức hội do Đảng, Nhà nước giao nhiệm vụ theo văn bản của cơ quan, người có thẩm quyền thuê để làm trụ sở làm việc trong trường hợp chưa có trụ sở làm việc;</w:t>
            </w:r>
          </w:p>
          <w:p w:rsidR="00C45DA2" w:rsidRPr="00C45DA2" w:rsidRDefault="00C45DA2" w:rsidP="00C45DA2">
            <w:pPr>
              <w:widowControl w:val="0"/>
              <w:tabs>
                <w:tab w:val="center" w:pos="1843"/>
                <w:tab w:val="center" w:pos="6237"/>
              </w:tabs>
              <w:spacing w:before="60" w:after="60"/>
              <w:jc w:val="both"/>
              <w:rPr>
                <w:sz w:val="22"/>
                <w:szCs w:val="22"/>
              </w:rPr>
            </w:pPr>
            <w:r w:rsidRPr="00C45DA2">
              <w:rPr>
                <w:sz w:val="22"/>
                <w:szCs w:val="22"/>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C45DA2" w:rsidRPr="003714F5" w:rsidRDefault="00C45DA2" w:rsidP="00C45DA2">
            <w:pPr>
              <w:widowControl w:val="0"/>
              <w:tabs>
                <w:tab w:val="center" w:pos="1843"/>
                <w:tab w:val="center" w:pos="6237"/>
              </w:tabs>
              <w:spacing w:before="60" w:after="60"/>
              <w:jc w:val="both"/>
              <w:rPr>
                <w:sz w:val="22"/>
                <w:szCs w:val="22"/>
              </w:rPr>
            </w:pPr>
            <w:r w:rsidRPr="00C45DA2">
              <w:rPr>
                <w:sz w:val="22"/>
                <w:szCs w:val="22"/>
              </w:rPr>
              <w:t xml:space="preserve">Hợp tác xã, liên hiệp hợp tác xã, tổ hợp tác đáp ứng các tiêu chí để được thụ hưởng chính sách hỗ trợ của Nhà nước theo quy định tại Luật Hợp tác xã, Nghị định của Chính phủ quy định chi tiết một số </w:t>
            </w:r>
            <w:r w:rsidRPr="00C45DA2">
              <w:rPr>
                <w:sz w:val="22"/>
                <w:szCs w:val="22"/>
              </w:rPr>
              <w:lastRenderedPageBreak/>
              <w:t>điều của Luật Hợp tác xã thuê để làm trụ sở, nhà kho, cửa hàng mua bán, trưng bày, giới thiệu sản phẩm phục vụ hoạt động sản xuất, kinh doanh.</w:t>
            </w:r>
            <w:bookmarkStart w:id="0" w:name="_GoBack"/>
            <w:bookmarkEnd w:id="0"/>
          </w:p>
          <w:p w:rsidR="007D43A3" w:rsidRPr="003714F5" w:rsidRDefault="007D43A3" w:rsidP="003714F5">
            <w:pPr>
              <w:widowControl w:val="0"/>
              <w:tabs>
                <w:tab w:val="center" w:pos="1843"/>
                <w:tab w:val="center" w:pos="6237"/>
              </w:tabs>
              <w:spacing w:before="60" w:after="60"/>
              <w:jc w:val="both"/>
              <w:rPr>
                <w:b/>
                <w:sz w:val="22"/>
                <w:szCs w:val="22"/>
              </w:rPr>
            </w:pPr>
            <w:r w:rsidRPr="003714F5">
              <w:rPr>
                <w:b/>
                <w:sz w:val="22"/>
                <w:szCs w:val="22"/>
              </w:rPr>
              <w:t>Điều 16. Tiền thuê nhà</w:t>
            </w:r>
          </w:p>
          <w:p w:rsidR="007D43A3" w:rsidRPr="003714F5" w:rsidRDefault="007D43A3" w:rsidP="003714F5">
            <w:pPr>
              <w:widowControl w:val="0"/>
              <w:tabs>
                <w:tab w:val="center" w:pos="1843"/>
                <w:tab w:val="center" w:pos="6237"/>
              </w:tabs>
              <w:spacing w:before="60" w:after="60"/>
              <w:jc w:val="both"/>
              <w:rPr>
                <w:sz w:val="22"/>
                <w:szCs w:val="22"/>
              </w:rPr>
            </w:pPr>
            <w:r w:rsidRPr="003714F5">
              <w:rPr>
                <w:sz w:val="22"/>
                <w:szCs w:val="22"/>
              </w:rPr>
              <w:t>2. Căn cứ thực tế của địa phương, Ủy ban nhân dân cấp tỉnh quy định chính sách ưu đãi (miễn, giảm) tiền thuê nhà cho các đối tượng ưu tiên quy định tại điểm a</w:t>
            </w:r>
            <w:r>
              <w:rPr>
                <w:sz w:val="22"/>
                <w:szCs w:val="22"/>
              </w:rPr>
              <w:t xml:space="preserve"> khoản 2 Điều 10 Nghị định này.</w:t>
            </w:r>
            <w:r>
              <w:t xml:space="preserve"> </w:t>
            </w:r>
            <w:r w:rsidRPr="003714F5">
              <w:rPr>
                <w:sz w:val="22"/>
                <w:szCs w:val="22"/>
              </w:rPr>
              <w:t>Trình tự, thủ tục miễn, giảm tiền thuê nhà thực hiện như sau:</w:t>
            </w:r>
          </w:p>
          <w:p w:rsidR="007D43A3" w:rsidRPr="003714F5" w:rsidRDefault="007D43A3" w:rsidP="003714F5">
            <w:pPr>
              <w:widowControl w:val="0"/>
              <w:tabs>
                <w:tab w:val="center" w:pos="1843"/>
                <w:tab w:val="center" w:pos="6237"/>
              </w:tabs>
              <w:spacing w:before="60" w:after="60"/>
              <w:jc w:val="both"/>
              <w:rPr>
                <w:sz w:val="22"/>
                <w:szCs w:val="22"/>
              </w:rPr>
            </w:pPr>
            <w:r w:rsidRPr="003714F5">
              <w:rPr>
                <w:sz w:val="22"/>
                <w:szCs w:val="22"/>
              </w:rPr>
              <w:t>a) Người được quyền thuê nhà thuộc đối tượng ưu tiên có đơn đề nghị miễn, giảm tiền thuê nhà kèm theo bản sao các hồ sơ, tài liệu chứng minh thuộc đối tượng ưu tiên, gửi tổ chức quản lý, kinh doanh nhà. Đơn đề nghị miễn, giảm tiền thuê nhà theo Mẫu số 07 tại Phụ lục ban hành kèm theo Nghị định này.</w:t>
            </w:r>
          </w:p>
          <w:p w:rsidR="007D43A3" w:rsidRPr="00540FEA" w:rsidRDefault="007D43A3" w:rsidP="003714F5">
            <w:pPr>
              <w:widowControl w:val="0"/>
              <w:tabs>
                <w:tab w:val="center" w:pos="1843"/>
                <w:tab w:val="center" w:pos="6237"/>
              </w:tabs>
              <w:spacing w:before="60" w:after="60"/>
              <w:jc w:val="both"/>
              <w:rPr>
                <w:sz w:val="22"/>
                <w:szCs w:val="22"/>
              </w:rPr>
            </w:pPr>
            <w:r w:rsidRPr="003714F5">
              <w:rPr>
                <w:sz w:val="22"/>
                <w:szCs w:val="22"/>
              </w:rPr>
              <w:t>b) Trong thời hạn 10 ngày, kể từ ngày nhận được đầy đủ hồ sơ quy định tại điểm a khoản này, tổ chức quản lý, kinh doanh nhà căn cứ chính sách ưu đãi (miễn, giảm) tiền thuê nhà do Ủy ban nhân dân cấp tỉnh ban hành, đơn đề nghị miễn, giảm tiền thuê nhà của tổ chức, cá nhân thuê nhà và hồ sơ, tài liệu kèm theo để xem xét, quyết định miễn, giảm tiền thuê nhà cho tổ chức, cá nhân thuê nhà.</w:t>
            </w:r>
          </w:p>
        </w:tc>
        <w:tc>
          <w:tcPr>
            <w:tcW w:w="5528" w:type="dxa"/>
          </w:tcPr>
          <w:p w:rsidR="007D43A3" w:rsidRPr="003714F5" w:rsidRDefault="007D43A3" w:rsidP="003714F5">
            <w:pPr>
              <w:widowControl w:val="0"/>
              <w:tabs>
                <w:tab w:val="center" w:pos="1843"/>
                <w:tab w:val="center" w:pos="6237"/>
              </w:tabs>
              <w:spacing w:before="60" w:after="60"/>
              <w:jc w:val="both"/>
              <w:rPr>
                <w:b/>
                <w:sz w:val="22"/>
                <w:szCs w:val="22"/>
              </w:rPr>
            </w:pPr>
            <w:r w:rsidRPr="003714F5">
              <w:rPr>
                <w:b/>
                <w:sz w:val="22"/>
                <w:szCs w:val="22"/>
              </w:rPr>
              <w:lastRenderedPageBreak/>
              <w:t>Điều 1. Phạm vi điều chỉnh</w:t>
            </w:r>
          </w:p>
          <w:p w:rsidR="007D43A3" w:rsidRPr="00540FEA" w:rsidRDefault="007D43A3" w:rsidP="007D43A3">
            <w:pPr>
              <w:widowControl w:val="0"/>
              <w:tabs>
                <w:tab w:val="center" w:pos="1843"/>
                <w:tab w:val="center" w:pos="6237"/>
              </w:tabs>
              <w:spacing w:before="60" w:after="60"/>
              <w:jc w:val="both"/>
              <w:rPr>
                <w:sz w:val="22"/>
                <w:szCs w:val="22"/>
              </w:rPr>
            </w:pPr>
            <w:r w:rsidRPr="003714F5">
              <w:rPr>
                <w:sz w:val="22"/>
                <w:szCs w:val="22"/>
              </w:rPr>
              <w:t>Quyết định này quy định chính sách ưu đãi tiền thuê nhà cho các đối tượng ưu tiên theo quy định tại khoản 2 Điều 16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bởi điểm a khoản 8 Điều 1 Nghị định số 286/2025/NĐ-CP.</w:t>
            </w:r>
          </w:p>
        </w:tc>
        <w:tc>
          <w:tcPr>
            <w:tcW w:w="4111" w:type="dxa"/>
          </w:tcPr>
          <w:p w:rsidR="007D43A3" w:rsidRDefault="007D43A3" w:rsidP="00137BC4">
            <w:pPr>
              <w:widowControl w:val="0"/>
              <w:tabs>
                <w:tab w:val="center" w:pos="1843"/>
                <w:tab w:val="center" w:pos="6237"/>
              </w:tabs>
              <w:spacing w:before="60" w:after="60"/>
              <w:jc w:val="both"/>
              <w:rPr>
                <w:sz w:val="22"/>
                <w:szCs w:val="22"/>
              </w:rPr>
            </w:pPr>
            <w:r>
              <w:rPr>
                <w:sz w:val="22"/>
                <w:szCs w:val="22"/>
              </w:rPr>
              <w:t xml:space="preserve">Phạm vi điều chỉnh theo quy định </w:t>
            </w:r>
            <w:r w:rsidRPr="00137BC4">
              <w:rPr>
                <w:sz w:val="22"/>
                <w:szCs w:val="22"/>
              </w:rPr>
              <w:t>tại khoản 2 Điều 16 Nghị định số 108/2024/NĐ-CP được sửa đổi, bổ sung bởi điểm a khoản 8 Điều 1 Nghị định số 286/2025/NĐ-CP</w:t>
            </w:r>
            <w:r>
              <w:rPr>
                <w:sz w:val="22"/>
                <w:szCs w:val="22"/>
              </w:rPr>
              <w:t>.</w:t>
            </w:r>
          </w:p>
        </w:tc>
      </w:tr>
      <w:tr w:rsidR="007D43A3" w:rsidRPr="00135B8A" w:rsidTr="00C45DA2">
        <w:trPr>
          <w:trHeight w:val="2712"/>
        </w:trPr>
        <w:tc>
          <w:tcPr>
            <w:tcW w:w="4673" w:type="dxa"/>
            <w:vMerge/>
          </w:tcPr>
          <w:p w:rsidR="007D43A3" w:rsidRPr="003714F5" w:rsidRDefault="007D43A3" w:rsidP="003714F5">
            <w:pPr>
              <w:widowControl w:val="0"/>
              <w:tabs>
                <w:tab w:val="center" w:pos="1843"/>
                <w:tab w:val="center" w:pos="6237"/>
              </w:tabs>
              <w:spacing w:before="60" w:after="60"/>
              <w:jc w:val="both"/>
              <w:rPr>
                <w:b/>
                <w:sz w:val="22"/>
                <w:szCs w:val="22"/>
              </w:rPr>
            </w:pPr>
          </w:p>
        </w:tc>
        <w:tc>
          <w:tcPr>
            <w:tcW w:w="5528" w:type="dxa"/>
          </w:tcPr>
          <w:p w:rsidR="007D43A3" w:rsidRPr="00137BC4" w:rsidRDefault="007D43A3" w:rsidP="007D43A3">
            <w:pPr>
              <w:widowControl w:val="0"/>
              <w:tabs>
                <w:tab w:val="center" w:pos="1843"/>
                <w:tab w:val="center" w:pos="6237"/>
              </w:tabs>
              <w:spacing w:before="60" w:after="60"/>
              <w:jc w:val="both"/>
              <w:rPr>
                <w:b/>
                <w:sz w:val="22"/>
                <w:szCs w:val="22"/>
              </w:rPr>
            </w:pPr>
            <w:r w:rsidRPr="00137BC4">
              <w:rPr>
                <w:b/>
                <w:sz w:val="22"/>
                <w:szCs w:val="22"/>
              </w:rPr>
              <w:t>Điều 2. Đối tượng áp dụng</w:t>
            </w:r>
          </w:p>
          <w:p w:rsidR="007D43A3" w:rsidRPr="00137BC4" w:rsidRDefault="007D43A3" w:rsidP="007D43A3">
            <w:pPr>
              <w:widowControl w:val="0"/>
              <w:tabs>
                <w:tab w:val="center" w:pos="1843"/>
                <w:tab w:val="center" w:pos="6237"/>
              </w:tabs>
              <w:spacing w:before="60" w:after="60"/>
              <w:jc w:val="both"/>
              <w:rPr>
                <w:sz w:val="22"/>
                <w:szCs w:val="22"/>
              </w:rPr>
            </w:pPr>
            <w:r w:rsidRPr="00137BC4">
              <w:rPr>
                <w:sz w:val="22"/>
                <w:szCs w:val="22"/>
              </w:rPr>
              <w:t>1. Tổ chức có chức năng quản lý, kinh doanh địa phương (sau đây gọi là tổ chức quản lý, kinh doanh nhà) theo quy định tại khoản 3 Điều 2 Nghị định số 108/2024/NĐ-CP được sửa đổi, bổ sung bởi điểm b khoản 16 Điều 1 Nghị định số 286/2025/NĐ-CP.</w:t>
            </w:r>
          </w:p>
          <w:p w:rsidR="007D43A3" w:rsidRPr="00137BC4" w:rsidRDefault="007D43A3" w:rsidP="007D43A3">
            <w:pPr>
              <w:widowControl w:val="0"/>
              <w:tabs>
                <w:tab w:val="center" w:pos="1843"/>
                <w:tab w:val="center" w:pos="6237"/>
              </w:tabs>
              <w:spacing w:before="60" w:after="60"/>
              <w:jc w:val="both"/>
              <w:rPr>
                <w:sz w:val="22"/>
                <w:szCs w:val="22"/>
              </w:rPr>
            </w:pPr>
            <w:r w:rsidRPr="00137BC4">
              <w:rPr>
                <w:sz w:val="22"/>
                <w:szCs w:val="22"/>
              </w:rPr>
              <w:t>2. Các đối tượng ưu tiên quy định tại điểm a khoản 2 Điều 10 Nghị định số 108/2024/NĐ-CP được sửa đổi, bổ sung bởi khoản 5 Điều 1 Nghị định số 286/2025/NĐ-CP.</w:t>
            </w:r>
          </w:p>
          <w:p w:rsidR="007D43A3" w:rsidRPr="003714F5" w:rsidRDefault="007D43A3" w:rsidP="007D43A3">
            <w:pPr>
              <w:widowControl w:val="0"/>
              <w:tabs>
                <w:tab w:val="center" w:pos="1843"/>
                <w:tab w:val="center" w:pos="6237"/>
              </w:tabs>
              <w:spacing w:before="60" w:after="60"/>
              <w:jc w:val="both"/>
              <w:rPr>
                <w:b/>
                <w:sz w:val="22"/>
                <w:szCs w:val="22"/>
              </w:rPr>
            </w:pPr>
            <w:r w:rsidRPr="00137BC4">
              <w:rPr>
                <w:sz w:val="22"/>
                <w:szCs w:val="22"/>
              </w:rPr>
              <w:t>3. Các cơ quan, tổ chức, đơn vị, doanh nghiệp và cá nhân nhân khác có liên quan đến việc quản lý, sử dụng và khai thác nhà, đất là tài sản công không sử dụng vào mục đích để ở giao cho tổ chức có chức năng quản lý, kinh doanh nhà địa phương quản lý, khai thác.</w:t>
            </w:r>
          </w:p>
        </w:tc>
        <w:tc>
          <w:tcPr>
            <w:tcW w:w="4111" w:type="dxa"/>
          </w:tcPr>
          <w:p w:rsidR="007D43A3" w:rsidRDefault="007D43A3" w:rsidP="00137BC4">
            <w:pPr>
              <w:widowControl w:val="0"/>
              <w:tabs>
                <w:tab w:val="center" w:pos="1843"/>
                <w:tab w:val="center" w:pos="6237"/>
              </w:tabs>
              <w:spacing w:before="60" w:after="60"/>
              <w:jc w:val="both"/>
              <w:rPr>
                <w:sz w:val="22"/>
                <w:szCs w:val="22"/>
              </w:rPr>
            </w:pPr>
            <w:r>
              <w:rPr>
                <w:sz w:val="22"/>
                <w:szCs w:val="22"/>
              </w:rPr>
              <w:t xml:space="preserve">Đối tượng áp dụng theo quy định tại </w:t>
            </w:r>
            <w:r w:rsidRPr="00137BC4">
              <w:rPr>
                <w:sz w:val="22"/>
                <w:szCs w:val="22"/>
              </w:rPr>
              <w:t>điểm a khoản 2 Điều 10 Nghị định số 108/2024/NĐ-CP được sửa đổi, bổ sung bởi khoản 5 Điều 1 Nghị định số 286/2025/NĐ-CP</w:t>
            </w:r>
            <w:r>
              <w:rPr>
                <w:sz w:val="22"/>
                <w:szCs w:val="22"/>
              </w:rPr>
              <w:t>.</w:t>
            </w:r>
          </w:p>
        </w:tc>
      </w:tr>
      <w:tr w:rsidR="007D43A3" w:rsidRPr="00135B8A" w:rsidTr="00C45DA2">
        <w:trPr>
          <w:trHeight w:val="2329"/>
        </w:trPr>
        <w:tc>
          <w:tcPr>
            <w:tcW w:w="4673" w:type="dxa"/>
            <w:vMerge/>
          </w:tcPr>
          <w:p w:rsidR="007D43A3" w:rsidRPr="003714F5" w:rsidRDefault="007D43A3" w:rsidP="003714F5">
            <w:pPr>
              <w:widowControl w:val="0"/>
              <w:tabs>
                <w:tab w:val="center" w:pos="1843"/>
                <w:tab w:val="center" w:pos="6237"/>
              </w:tabs>
              <w:spacing w:before="60" w:after="60"/>
              <w:jc w:val="both"/>
              <w:rPr>
                <w:b/>
                <w:sz w:val="22"/>
                <w:szCs w:val="22"/>
              </w:rPr>
            </w:pPr>
          </w:p>
        </w:tc>
        <w:tc>
          <w:tcPr>
            <w:tcW w:w="5528" w:type="dxa"/>
          </w:tcPr>
          <w:p w:rsidR="007D43A3" w:rsidRPr="00137BC4" w:rsidRDefault="007D43A3" w:rsidP="007D43A3">
            <w:pPr>
              <w:widowControl w:val="0"/>
              <w:tabs>
                <w:tab w:val="center" w:pos="1843"/>
                <w:tab w:val="center" w:pos="6237"/>
              </w:tabs>
              <w:spacing w:before="60" w:after="60"/>
              <w:jc w:val="both"/>
              <w:rPr>
                <w:b/>
                <w:sz w:val="22"/>
                <w:szCs w:val="22"/>
              </w:rPr>
            </w:pPr>
            <w:r w:rsidRPr="00137BC4">
              <w:rPr>
                <w:b/>
                <w:sz w:val="22"/>
                <w:szCs w:val="22"/>
              </w:rPr>
              <w:t>Điều 3. Chính sách ưu đãi tiền thuê nhà</w:t>
            </w:r>
          </w:p>
          <w:p w:rsidR="007D43A3" w:rsidRPr="00137BC4" w:rsidRDefault="007D43A3" w:rsidP="007D43A3">
            <w:pPr>
              <w:widowControl w:val="0"/>
              <w:tabs>
                <w:tab w:val="center" w:pos="1843"/>
                <w:tab w:val="center" w:pos="6237"/>
              </w:tabs>
              <w:spacing w:before="60" w:after="60"/>
              <w:jc w:val="both"/>
              <w:rPr>
                <w:sz w:val="22"/>
                <w:szCs w:val="22"/>
              </w:rPr>
            </w:pPr>
            <w:r w:rsidRPr="00137BC4">
              <w:rPr>
                <w:sz w:val="22"/>
                <w:szCs w:val="22"/>
              </w:rPr>
              <w:t>1. Miễn tiền thuê nhà cho cả thời hạn thuê đối với tổ chức hội do Đảng, Nhà nước giao nhiệm vụ theo văn bản của cơ quan, người có thẩm quyền thuê để làm trụ sở làm việc trong trường hợp chưa có trụ sở làm việc (bao gồm cả trường hợp gia hạn thời gian cho thuê nhà).</w:t>
            </w:r>
          </w:p>
          <w:p w:rsidR="007D43A3" w:rsidRPr="007D43A3" w:rsidRDefault="007D43A3" w:rsidP="003714F5">
            <w:pPr>
              <w:widowControl w:val="0"/>
              <w:tabs>
                <w:tab w:val="center" w:pos="1843"/>
                <w:tab w:val="center" w:pos="6237"/>
              </w:tabs>
              <w:spacing w:before="60" w:after="60"/>
              <w:jc w:val="both"/>
              <w:rPr>
                <w:sz w:val="22"/>
                <w:szCs w:val="22"/>
              </w:rPr>
            </w:pPr>
            <w:r w:rsidRPr="00137BC4">
              <w:rPr>
                <w:sz w:val="22"/>
                <w:szCs w:val="22"/>
              </w:rPr>
              <w:t xml:space="preserve">2. Miễn 03 (ba) năm đầu tiền thuê nhà đối với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 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w:t>
            </w:r>
            <w:r w:rsidRPr="00137BC4">
              <w:rPr>
                <w:sz w:val="22"/>
                <w:szCs w:val="22"/>
              </w:rPr>
              <w:lastRenderedPageBreak/>
              <w:t>Hợp tác xã thuê để làm trụ sở, nhà kho, cửa hàng mua bán, trưng bày, giới thiệu sản phẩm phục vụ hoạt động sản xuất, kinh doanh (chỉ áp dụng một lần cho một đối tượng thuê và không áp dụng đối với trường hợp gia hạn thời gian cho thuê nhà).</w:t>
            </w:r>
          </w:p>
        </w:tc>
        <w:tc>
          <w:tcPr>
            <w:tcW w:w="4111" w:type="dxa"/>
          </w:tcPr>
          <w:p w:rsidR="007D43A3" w:rsidRDefault="007D43A3" w:rsidP="007D43A3">
            <w:pPr>
              <w:widowControl w:val="0"/>
              <w:tabs>
                <w:tab w:val="center" w:pos="1843"/>
                <w:tab w:val="center" w:pos="6237"/>
              </w:tabs>
              <w:spacing w:before="60" w:after="60"/>
              <w:jc w:val="both"/>
              <w:rPr>
                <w:sz w:val="22"/>
                <w:szCs w:val="22"/>
              </w:rPr>
            </w:pPr>
            <w:r>
              <w:rPr>
                <w:sz w:val="22"/>
                <w:szCs w:val="22"/>
              </w:rPr>
              <w:lastRenderedPageBreak/>
              <w:t>* V</w:t>
            </w:r>
            <w:r w:rsidRPr="00137BC4">
              <w:rPr>
                <w:sz w:val="22"/>
                <w:szCs w:val="22"/>
              </w:rPr>
              <w:t>iệc miễn tiền thuê nhà cho cả thời hạn thuê đối với tổ chức hội do Đảng, Nhà nước giao nhiệm vụ theo văn bản của cơ quan, người có thẩm quyền thuê để làm trụ sở làm việc trong trường hợp chưa có trụ sở làm việc (bao gồm cả trường hợp gia hạn thời gian cho thuê nhà) để đảm bảo hoạt động cho các tổ chức hội nêu trên là phù hợp với tình hình thực tế và quy định của Bộ Chính trị, Ban Bí thư, Tỉnh ủy, UBND tỉnh.</w:t>
            </w:r>
          </w:p>
          <w:p w:rsidR="007D43A3" w:rsidRDefault="007D43A3" w:rsidP="00137BC4">
            <w:pPr>
              <w:widowControl w:val="0"/>
              <w:tabs>
                <w:tab w:val="center" w:pos="1843"/>
                <w:tab w:val="center" w:pos="6237"/>
              </w:tabs>
              <w:spacing w:before="60" w:after="60"/>
              <w:jc w:val="both"/>
              <w:rPr>
                <w:sz w:val="22"/>
                <w:szCs w:val="22"/>
              </w:rPr>
            </w:pPr>
            <w:r>
              <w:rPr>
                <w:sz w:val="22"/>
                <w:szCs w:val="22"/>
              </w:rPr>
              <w:t>* V</w:t>
            </w:r>
            <w:r w:rsidRPr="00137BC4">
              <w:rPr>
                <w:sz w:val="22"/>
                <w:szCs w:val="22"/>
              </w:rPr>
              <w:t xml:space="preserve">iệc miễn 03 năm đầu tiền thuê nhà đối với hai đối tượng trên (chỉ áp dụng một lần cho một đối tượng thuê và không áp dụng đối với trường hợp gia hạn thời gian cho thuê </w:t>
            </w:r>
            <w:r w:rsidRPr="00137BC4">
              <w:rPr>
                <w:sz w:val="22"/>
                <w:szCs w:val="22"/>
              </w:rPr>
              <w:lastRenderedPageBreak/>
              <w:t>nhà) là phù hợp theo chính sách khuyến khích, hỗ trợ chung của Nhà nước; giúp hai đối tượng này có điều kiện ổn định trong 03 năm đầu, tạo bước đà phát triển hoạt động, nguồn thu để chi trả tiền thuê nhà cho thời gian thuê còn lại; đồng thời giảm áp lực cho ngân sách nhà nước về kinh phí bảo trì, duy tu, bảo dưỡng, sửa chữa tài sản sau giai đoạn được miễn tiền thuê nhà.</w:t>
            </w:r>
          </w:p>
        </w:tc>
      </w:tr>
      <w:tr w:rsidR="007D43A3" w:rsidRPr="00135B8A" w:rsidTr="00C45DA2">
        <w:trPr>
          <w:trHeight w:val="345"/>
        </w:trPr>
        <w:tc>
          <w:tcPr>
            <w:tcW w:w="4673" w:type="dxa"/>
            <w:vMerge/>
          </w:tcPr>
          <w:p w:rsidR="007D43A3" w:rsidRPr="003714F5" w:rsidRDefault="007D43A3" w:rsidP="003714F5">
            <w:pPr>
              <w:widowControl w:val="0"/>
              <w:tabs>
                <w:tab w:val="center" w:pos="1843"/>
                <w:tab w:val="center" w:pos="6237"/>
              </w:tabs>
              <w:spacing w:before="60" w:after="60"/>
              <w:jc w:val="both"/>
              <w:rPr>
                <w:b/>
                <w:sz w:val="22"/>
                <w:szCs w:val="22"/>
              </w:rPr>
            </w:pPr>
          </w:p>
        </w:tc>
        <w:tc>
          <w:tcPr>
            <w:tcW w:w="5528" w:type="dxa"/>
          </w:tcPr>
          <w:p w:rsidR="007D43A3" w:rsidRPr="00137BC4" w:rsidRDefault="007D43A3" w:rsidP="007D43A3">
            <w:pPr>
              <w:widowControl w:val="0"/>
              <w:tabs>
                <w:tab w:val="center" w:pos="1843"/>
                <w:tab w:val="center" w:pos="6237"/>
              </w:tabs>
              <w:spacing w:before="60" w:after="60"/>
              <w:jc w:val="both"/>
              <w:rPr>
                <w:b/>
                <w:sz w:val="22"/>
                <w:szCs w:val="22"/>
              </w:rPr>
            </w:pPr>
            <w:r w:rsidRPr="00137BC4">
              <w:rPr>
                <w:b/>
                <w:sz w:val="22"/>
                <w:szCs w:val="22"/>
              </w:rPr>
              <w:t>Điều 4. Tổ chức thực hiện</w:t>
            </w:r>
          </w:p>
          <w:p w:rsidR="007D43A3" w:rsidRPr="00137BC4" w:rsidRDefault="007D43A3" w:rsidP="007D43A3">
            <w:pPr>
              <w:widowControl w:val="0"/>
              <w:tabs>
                <w:tab w:val="center" w:pos="1843"/>
                <w:tab w:val="center" w:pos="6237"/>
              </w:tabs>
              <w:spacing w:before="60" w:after="60"/>
              <w:jc w:val="both"/>
              <w:rPr>
                <w:sz w:val="22"/>
                <w:szCs w:val="22"/>
              </w:rPr>
            </w:pPr>
            <w:r w:rsidRPr="00137BC4">
              <w:rPr>
                <w:sz w:val="22"/>
                <w:szCs w:val="22"/>
              </w:rPr>
              <w:t>1. Tổ chức quản lý, kinh doanh nhà căn cứ chính sách ưu đãi tiền thuê nhà tại Quyết định để xem xét, quyết định miễn tiền thuê nhà cho tổ chức, cá nhân thuê nhà theo trình tự, thủ tục quy định tại khoản 2 Điều 16 Nghị định số 108/2024/NĐ-CP được sửa đổi, bổ sung bởi điểm a khoản 8 Điều 1 Nghị định số 286/2025/NĐ-CP.</w:t>
            </w:r>
          </w:p>
          <w:p w:rsidR="007D43A3" w:rsidRPr="00137BC4" w:rsidRDefault="007D43A3" w:rsidP="007D43A3">
            <w:pPr>
              <w:widowControl w:val="0"/>
              <w:tabs>
                <w:tab w:val="center" w:pos="1843"/>
                <w:tab w:val="center" w:pos="6237"/>
              </w:tabs>
              <w:spacing w:before="60" w:after="60"/>
              <w:jc w:val="both"/>
              <w:rPr>
                <w:sz w:val="22"/>
                <w:szCs w:val="22"/>
              </w:rPr>
            </w:pPr>
            <w:r w:rsidRPr="00137BC4">
              <w:rPr>
                <w:sz w:val="22"/>
                <w:szCs w:val="22"/>
              </w:rPr>
              <w:t>2. Tổ chức, cá nhân thuê nhà thuộc đối tượng ưu tiên quy định tại điểm a khoản 2 Điều 10 Nghị định 108/2024/NĐ-CP được sửa đổi, bổ sung bởi khoản 5 Điều 1 Nghị định số 286/2025/NĐ-CP có trách nhiệm nộp bản sao các hồ sơ, tài liệu chứng minh thuộc đối tượng ưu tiên cho tổ chức quản lý, kinh doanh nhà khi làm thủ tục miễn tiền thuê nhà.</w:t>
            </w:r>
          </w:p>
          <w:p w:rsidR="007D43A3" w:rsidRPr="003714F5" w:rsidRDefault="007D43A3" w:rsidP="007D43A3">
            <w:pPr>
              <w:widowControl w:val="0"/>
              <w:tabs>
                <w:tab w:val="center" w:pos="1843"/>
                <w:tab w:val="center" w:pos="6237"/>
              </w:tabs>
              <w:spacing w:before="60" w:after="60"/>
              <w:jc w:val="both"/>
              <w:rPr>
                <w:b/>
                <w:sz w:val="22"/>
                <w:szCs w:val="22"/>
              </w:rPr>
            </w:pPr>
            <w:r w:rsidRPr="00137BC4">
              <w:rPr>
                <w:sz w:val="22"/>
                <w:szCs w:val="22"/>
              </w:rPr>
              <w:t xml:space="preserve">3. Trong quá trình thực hiện, trên cơ sở kết quả thực hiện chính sách ưu đãi, tổ chức quản lý, kinh doanh nhà chủ trì, phối hợp với các đơn vị có liên quan để rà soát, đánh giá chính sách ưu đãi được quy định tại Quyết định này, đề xuất điều chỉnh (nếu có); gửi Sở Tài chính tổng hợp, báo cáo Ủy ban nhân dân tỉnh xem xét, sửa đổi, điều chỉnh cho phù </w:t>
            </w:r>
            <w:r>
              <w:rPr>
                <w:sz w:val="22"/>
                <w:szCs w:val="22"/>
              </w:rPr>
              <w:t>hợp với thực tế tại địa phương.</w:t>
            </w:r>
          </w:p>
        </w:tc>
        <w:tc>
          <w:tcPr>
            <w:tcW w:w="4111" w:type="dxa"/>
          </w:tcPr>
          <w:p w:rsidR="007D43A3" w:rsidRDefault="007D43A3" w:rsidP="00137BC4">
            <w:pPr>
              <w:widowControl w:val="0"/>
              <w:tabs>
                <w:tab w:val="center" w:pos="1843"/>
                <w:tab w:val="center" w:pos="6237"/>
              </w:tabs>
              <w:spacing w:before="60" w:after="60"/>
              <w:jc w:val="both"/>
              <w:rPr>
                <w:sz w:val="22"/>
                <w:szCs w:val="22"/>
              </w:rPr>
            </w:pPr>
            <w:r>
              <w:rPr>
                <w:sz w:val="22"/>
                <w:szCs w:val="22"/>
              </w:rPr>
              <w:t xml:space="preserve">Giao trách nhiệm tổ chức thực hiện </w:t>
            </w:r>
            <w:r w:rsidR="00FF606A">
              <w:rPr>
                <w:sz w:val="22"/>
                <w:szCs w:val="22"/>
              </w:rPr>
              <w:t xml:space="preserve">theo trình tự thủ tục tại </w:t>
            </w:r>
            <w:r w:rsidR="00FF606A" w:rsidRPr="00137BC4">
              <w:rPr>
                <w:sz w:val="22"/>
                <w:szCs w:val="22"/>
              </w:rPr>
              <w:t>khoản 2 Điều 16 Nghị định số 108/2024/NĐ-CP được sửa đổi, bổ sung bởi điểm a khoản 8 Điều 1 Nghị định số 286/2025/NĐ-CP</w:t>
            </w:r>
            <w:r w:rsidR="00FF606A">
              <w:rPr>
                <w:sz w:val="22"/>
                <w:szCs w:val="22"/>
              </w:rPr>
              <w:t>.</w:t>
            </w:r>
          </w:p>
        </w:tc>
      </w:tr>
      <w:tr w:rsidR="007D43A3" w:rsidRPr="00135B8A" w:rsidTr="00C45DA2">
        <w:trPr>
          <w:trHeight w:val="1904"/>
        </w:trPr>
        <w:tc>
          <w:tcPr>
            <w:tcW w:w="4673" w:type="dxa"/>
            <w:vMerge/>
          </w:tcPr>
          <w:p w:rsidR="007D43A3" w:rsidRPr="003714F5" w:rsidRDefault="007D43A3" w:rsidP="003714F5">
            <w:pPr>
              <w:widowControl w:val="0"/>
              <w:tabs>
                <w:tab w:val="center" w:pos="1843"/>
                <w:tab w:val="center" w:pos="6237"/>
              </w:tabs>
              <w:spacing w:before="60" w:after="60"/>
              <w:jc w:val="both"/>
              <w:rPr>
                <w:b/>
                <w:sz w:val="22"/>
                <w:szCs w:val="22"/>
              </w:rPr>
            </w:pPr>
          </w:p>
        </w:tc>
        <w:tc>
          <w:tcPr>
            <w:tcW w:w="5528" w:type="dxa"/>
          </w:tcPr>
          <w:p w:rsidR="007D43A3" w:rsidRPr="00137BC4" w:rsidRDefault="007D43A3" w:rsidP="007D43A3">
            <w:pPr>
              <w:widowControl w:val="0"/>
              <w:tabs>
                <w:tab w:val="center" w:pos="1843"/>
                <w:tab w:val="center" w:pos="6237"/>
              </w:tabs>
              <w:spacing w:before="60" w:after="60"/>
              <w:jc w:val="both"/>
              <w:rPr>
                <w:b/>
                <w:sz w:val="22"/>
                <w:szCs w:val="22"/>
              </w:rPr>
            </w:pPr>
            <w:r w:rsidRPr="00137BC4">
              <w:rPr>
                <w:b/>
                <w:sz w:val="22"/>
                <w:szCs w:val="22"/>
              </w:rPr>
              <w:t xml:space="preserve">Điều 5. Hiệu lực thi hành </w:t>
            </w:r>
          </w:p>
          <w:p w:rsidR="007D43A3" w:rsidRPr="00137BC4" w:rsidRDefault="007D43A3" w:rsidP="007D43A3">
            <w:pPr>
              <w:widowControl w:val="0"/>
              <w:tabs>
                <w:tab w:val="center" w:pos="1843"/>
                <w:tab w:val="center" w:pos="6237"/>
              </w:tabs>
              <w:spacing w:before="60" w:after="60"/>
              <w:jc w:val="both"/>
              <w:rPr>
                <w:sz w:val="22"/>
                <w:szCs w:val="22"/>
              </w:rPr>
            </w:pPr>
            <w:r w:rsidRPr="00137BC4">
              <w:rPr>
                <w:sz w:val="22"/>
                <w:szCs w:val="22"/>
              </w:rPr>
              <w:t>1. Quyết định này có hiệu lực từ ngày….. tháng… năm 2026.</w:t>
            </w:r>
          </w:p>
          <w:p w:rsidR="007D43A3" w:rsidRPr="003714F5" w:rsidRDefault="007D43A3" w:rsidP="007D43A3">
            <w:pPr>
              <w:widowControl w:val="0"/>
              <w:tabs>
                <w:tab w:val="center" w:pos="1843"/>
                <w:tab w:val="center" w:pos="6237"/>
              </w:tabs>
              <w:spacing w:before="60" w:after="60"/>
              <w:jc w:val="both"/>
              <w:rPr>
                <w:b/>
                <w:sz w:val="22"/>
                <w:szCs w:val="22"/>
              </w:rPr>
            </w:pPr>
            <w:r w:rsidRPr="00137BC4">
              <w:rPr>
                <w:sz w:val="22"/>
                <w:szCs w:val="22"/>
              </w:rPr>
              <w:t>2. Chánh Văn phòng Ủy ban nhân dân tỉnh; Thủ trưởng các Sở, ban, ngành; Chủ tịch Ủy ban nhân dân các xã, phường; Thủ trưởng các cơ quan, đơn vị và các tổ chức, cá nhân liên quan chịu trách nhiệm thi hành Quyết định này.</w:t>
            </w:r>
          </w:p>
        </w:tc>
        <w:tc>
          <w:tcPr>
            <w:tcW w:w="4111" w:type="dxa"/>
          </w:tcPr>
          <w:p w:rsidR="007D43A3" w:rsidRDefault="007D43A3" w:rsidP="00137BC4">
            <w:pPr>
              <w:widowControl w:val="0"/>
              <w:tabs>
                <w:tab w:val="center" w:pos="1843"/>
                <w:tab w:val="center" w:pos="6237"/>
              </w:tabs>
              <w:spacing w:before="60" w:after="60"/>
              <w:jc w:val="both"/>
              <w:rPr>
                <w:sz w:val="22"/>
                <w:szCs w:val="22"/>
              </w:rPr>
            </w:pPr>
          </w:p>
        </w:tc>
      </w:tr>
    </w:tbl>
    <w:p w:rsidR="00BC7C3E" w:rsidRPr="00E81FA0" w:rsidRDefault="00BC7C3E" w:rsidP="0079261B">
      <w:pPr>
        <w:widowControl w:val="0"/>
        <w:tabs>
          <w:tab w:val="center" w:pos="1843"/>
          <w:tab w:val="center" w:pos="6237"/>
        </w:tabs>
        <w:spacing w:before="60" w:after="60"/>
        <w:jc w:val="both"/>
      </w:pPr>
    </w:p>
    <w:sectPr w:rsidR="00BC7C3E" w:rsidRPr="00E81FA0" w:rsidSect="0079261B">
      <w:headerReference w:type="default" r:id="rId8"/>
      <w:footerReference w:type="even" r:id="rId9"/>
      <w:footerReference w:type="default" r:id="rId10"/>
      <w:pgSz w:w="16840" w:h="11907" w:orient="landscape" w:code="9"/>
      <w:pgMar w:top="1701" w:right="1134" w:bottom="1843" w:left="1134" w:header="72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97" w:rsidRDefault="00595297">
      <w:r>
        <w:separator/>
      </w:r>
    </w:p>
  </w:endnote>
  <w:endnote w:type="continuationSeparator" w:id="0">
    <w:p w:rsidR="00595297" w:rsidRDefault="0059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97" w:rsidRDefault="00595297">
      <w:r>
        <w:separator/>
      </w:r>
    </w:p>
  </w:footnote>
  <w:footnote w:type="continuationSeparator" w:id="0">
    <w:p w:rsidR="00595297" w:rsidRDefault="0059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C45DA2">
      <w:rPr>
        <w:noProof/>
      </w:rPr>
      <w:t>4</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12E"/>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F81"/>
    <w:rsid w:val="00060632"/>
    <w:rsid w:val="0006284C"/>
    <w:rsid w:val="00064831"/>
    <w:rsid w:val="000650C9"/>
    <w:rsid w:val="0006754B"/>
    <w:rsid w:val="00067ACA"/>
    <w:rsid w:val="00067B6F"/>
    <w:rsid w:val="00071E89"/>
    <w:rsid w:val="000749CB"/>
    <w:rsid w:val="00082FF4"/>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5B8A"/>
    <w:rsid w:val="00136A16"/>
    <w:rsid w:val="00136FC8"/>
    <w:rsid w:val="00137BC4"/>
    <w:rsid w:val="001411E5"/>
    <w:rsid w:val="00141DC9"/>
    <w:rsid w:val="00142EAD"/>
    <w:rsid w:val="00144E2A"/>
    <w:rsid w:val="00145741"/>
    <w:rsid w:val="00146333"/>
    <w:rsid w:val="001463D9"/>
    <w:rsid w:val="00146714"/>
    <w:rsid w:val="00151B0A"/>
    <w:rsid w:val="00151CCA"/>
    <w:rsid w:val="001532F7"/>
    <w:rsid w:val="00157E25"/>
    <w:rsid w:val="001612D8"/>
    <w:rsid w:val="00161510"/>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06CD"/>
    <w:rsid w:val="001D28F5"/>
    <w:rsid w:val="001D35E1"/>
    <w:rsid w:val="001E7CF5"/>
    <w:rsid w:val="001F38C4"/>
    <w:rsid w:val="001F543A"/>
    <w:rsid w:val="001F64E4"/>
    <w:rsid w:val="00205B4F"/>
    <w:rsid w:val="00207709"/>
    <w:rsid w:val="00211A0F"/>
    <w:rsid w:val="00212A3F"/>
    <w:rsid w:val="00212E7D"/>
    <w:rsid w:val="0021361B"/>
    <w:rsid w:val="00221524"/>
    <w:rsid w:val="002228D9"/>
    <w:rsid w:val="00223100"/>
    <w:rsid w:val="00223A39"/>
    <w:rsid w:val="00223F35"/>
    <w:rsid w:val="00224765"/>
    <w:rsid w:val="00224928"/>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030E"/>
    <w:rsid w:val="00253B5F"/>
    <w:rsid w:val="00260124"/>
    <w:rsid w:val="002612D4"/>
    <w:rsid w:val="002632B3"/>
    <w:rsid w:val="00266500"/>
    <w:rsid w:val="00266BD7"/>
    <w:rsid w:val="00270A0E"/>
    <w:rsid w:val="00270F8E"/>
    <w:rsid w:val="00275031"/>
    <w:rsid w:val="002750EE"/>
    <w:rsid w:val="00276329"/>
    <w:rsid w:val="002771E3"/>
    <w:rsid w:val="00277BA0"/>
    <w:rsid w:val="002825D2"/>
    <w:rsid w:val="00286B34"/>
    <w:rsid w:val="00286C28"/>
    <w:rsid w:val="00293954"/>
    <w:rsid w:val="0029609E"/>
    <w:rsid w:val="002A562E"/>
    <w:rsid w:val="002B1632"/>
    <w:rsid w:val="002B1EAC"/>
    <w:rsid w:val="002B5848"/>
    <w:rsid w:val="002B5BF8"/>
    <w:rsid w:val="002C18ED"/>
    <w:rsid w:val="002C1C17"/>
    <w:rsid w:val="002C2653"/>
    <w:rsid w:val="002D14A4"/>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49BA"/>
    <w:rsid w:val="00325EA0"/>
    <w:rsid w:val="003278EF"/>
    <w:rsid w:val="00327B54"/>
    <w:rsid w:val="003356F4"/>
    <w:rsid w:val="003410BF"/>
    <w:rsid w:val="003426AB"/>
    <w:rsid w:val="0034294F"/>
    <w:rsid w:val="00342D02"/>
    <w:rsid w:val="00344139"/>
    <w:rsid w:val="00344CEF"/>
    <w:rsid w:val="00346009"/>
    <w:rsid w:val="00350E02"/>
    <w:rsid w:val="00352E44"/>
    <w:rsid w:val="00353A65"/>
    <w:rsid w:val="003571D9"/>
    <w:rsid w:val="003607E0"/>
    <w:rsid w:val="00360F2E"/>
    <w:rsid w:val="00361BF8"/>
    <w:rsid w:val="00364570"/>
    <w:rsid w:val="0037016B"/>
    <w:rsid w:val="003714F5"/>
    <w:rsid w:val="00372B17"/>
    <w:rsid w:val="003741FE"/>
    <w:rsid w:val="00375920"/>
    <w:rsid w:val="00380AB0"/>
    <w:rsid w:val="003814F0"/>
    <w:rsid w:val="003834BE"/>
    <w:rsid w:val="00383C07"/>
    <w:rsid w:val="00383E09"/>
    <w:rsid w:val="00385E9A"/>
    <w:rsid w:val="003860C7"/>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1CF"/>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3830"/>
    <w:rsid w:val="00413A01"/>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229D"/>
    <w:rsid w:val="0046533E"/>
    <w:rsid w:val="00470008"/>
    <w:rsid w:val="00471C45"/>
    <w:rsid w:val="004735B3"/>
    <w:rsid w:val="0047394A"/>
    <w:rsid w:val="00475906"/>
    <w:rsid w:val="00475A53"/>
    <w:rsid w:val="00476BD8"/>
    <w:rsid w:val="00476FF6"/>
    <w:rsid w:val="00480FF8"/>
    <w:rsid w:val="004817A8"/>
    <w:rsid w:val="00482C0E"/>
    <w:rsid w:val="0048327F"/>
    <w:rsid w:val="00490C43"/>
    <w:rsid w:val="00491059"/>
    <w:rsid w:val="004959E0"/>
    <w:rsid w:val="00497A63"/>
    <w:rsid w:val="00497E23"/>
    <w:rsid w:val="004A34BD"/>
    <w:rsid w:val="004A5976"/>
    <w:rsid w:val="004C0F15"/>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34F1A"/>
    <w:rsid w:val="00535012"/>
    <w:rsid w:val="00535B32"/>
    <w:rsid w:val="005378A8"/>
    <w:rsid w:val="00540FEA"/>
    <w:rsid w:val="00542A7D"/>
    <w:rsid w:val="00543AD1"/>
    <w:rsid w:val="00543C28"/>
    <w:rsid w:val="00545F8B"/>
    <w:rsid w:val="00546207"/>
    <w:rsid w:val="00551A90"/>
    <w:rsid w:val="00551B6C"/>
    <w:rsid w:val="00552D5B"/>
    <w:rsid w:val="00554FDF"/>
    <w:rsid w:val="00560DD8"/>
    <w:rsid w:val="00560E8B"/>
    <w:rsid w:val="00561622"/>
    <w:rsid w:val="00562E7B"/>
    <w:rsid w:val="00564C17"/>
    <w:rsid w:val="005653A6"/>
    <w:rsid w:val="00570F9F"/>
    <w:rsid w:val="00572FED"/>
    <w:rsid w:val="00575826"/>
    <w:rsid w:val="0057651E"/>
    <w:rsid w:val="00580259"/>
    <w:rsid w:val="00585550"/>
    <w:rsid w:val="005865B2"/>
    <w:rsid w:val="005867E7"/>
    <w:rsid w:val="005876E8"/>
    <w:rsid w:val="00591484"/>
    <w:rsid w:val="00591806"/>
    <w:rsid w:val="0059433B"/>
    <w:rsid w:val="00595164"/>
    <w:rsid w:val="00595297"/>
    <w:rsid w:val="005966CB"/>
    <w:rsid w:val="0059672A"/>
    <w:rsid w:val="00597131"/>
    <w:rsid w:val="005A2EE4"/>
    <w:rsid w:val="005A729A"/>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20497"/>
    <w:rsid w:val="006218DC"/>
    <w:rsid w:val="00621E21"/>
    <w:rsid w:val="006229D7"/>
    <w:rsid w:val="00625FA2"/>
    <w:rsid w:val="00626699"/>
    <w:rsid w:val="00632B49"/>
    <w:rsid w:val="0063437B"/>
    <w:rsid w:val="006355E4"/>
    <w:rsid w:val="0063579E"/>
    <w:rsid w:val="0063657B"/>
    <w:rsid w:val="00637C2E"/>
    <w:rsid w:val="00646533"/>
    <w:rsid w:val="00650320"/>
    <w:rsid w:val="00651925"/>
    <w:rsid w:val="006539F3"/>
    <w:rsid w:val="00653A11"/>
    <w:rsid w:val="00653A34"/>
    <w:rsid w:val="00653EB9"/>
    <w:rsid w:val="00654918"/>
    <w:rsid w:val="00661CF8"/>
    <w:rsid w:val="006620EF"/>
    <w:rsid w:val="006668C3"/>
    <w:rsid w:val="00666E8D"/>
    <w:rsid w:val="00672D0A"/>
    <w:rsid w:val="00672D8A"/>
    <w:rsid w:val="006744C9"/>
    <w:rsid w:val="00681D15"/>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FB0"/>
    <w:rsid w:val="006B3275"/>
    <w:rsid w:val="006B368F"/>
    <w:rsid w:val="006B4300"/>
    <w:rsid w:val="006B644D"/>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3C3"/>
    <w:rsid w:val="006F1515"/>
    <w:rsid w:val="006F1F6D"/>
    <w:rsid w:val="006F2CEE"/>
    <w:rsid w:val="006F3DAD"/>
    <w:rsid w:val="006F7666"/>
    <w:rsid w:val="006F7B2B"/>
    <w:rsid w:val="007020E3"/>
    <w:rsid w:val="0071178F"/>
    <w:rsid w:val="00712802"/>
    <w:rsid w:val="00712AE3"/>
    <w:rsid w:val="00712BD9"/>
    <w:rsid w:val="007138E7"/>
    <w:rsid w:val="007210FD"/>
    <w:rsid w:val="00721796"/>
    <w:rsid w:val="00721CA5"/>
    <w:rsid w:val="00723D06"/>
    <w:rsid w:val="007240AC"/>
    <w:rsid w:val="0072482F"/>
    <w:rsid w:val="00725AE9"/>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38FA"/>
    <w:rsid w:val="0074499A"/>
    <w:rsid w:val="00747233"/>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261B"/>
    <w:rsid w:val="007930E7"/>
    <w:rsid w:val="007950B8"/>
    <w:rsid w:val="007A2148"/>
    <w:rsid w:val="007A260E"/>
    <w:rsid w:val="007A40E1"/>
    <w:rsid w:val="007A6DAB"/>
    <w:rsid w:val="007B0737"/>
    <w:rsid w:val="007B1D9A"/>
    <w:rsid w:val="007C1CFC"/>
    <w:rsid w:val="007C2B1D"/>
    <w:rsid w:val="007C74D0"/>
    <w:rsid w:val="007D0AE5"/>
    <w:rsid w:val="007D1361"/>
    <w:rsid w:val="007D43A3"/>
    <w:rsid w:val="007D64DB"/>
    <w:rsid w:val="007D6C29"/>
    <w:rsid w:val="007E3662"/>
    <w:rsid w:val="007E4667"/>
    <w:rsid w:val="007F0745"/>
    <w:rsid w:val="00801F43"/>
    <w:rsid w:val="008022D8"/>
    <w:rsid w:val="008030E3"/>
    <w:rsid w:val="00804F87"/>
    <w:rsid w:val="00810ACF"/>
    <w:rsid w:val="00813215"/>
    <w:rsid w:val="008144BF"/>
    <w:rsid w:val="00820FC5"/>
    <w:rsid w:val="00823650"/>
    <w:rsid w:val="00824104"/>
    <w:rsid w:val="00830AE5"/>
    <w:rsid w:val="00830F40"/>
    <w:rsid w:val="008311E6"/>
    <w:rsid w:val="008335A7"/>
    <w:rsid w:val="008339ED"/>
    <w:rsid w:val="00837827"/>
    <w:rsid w:val="00841652"/>
    <w:rsid w:val="00846D0E"/>
    <w:rsid w:val="00846F12"/>
    <w:rsid w:val="00851711"/>
    <w:rsid w:val="00851E29"/>
    <w:rsid w:val="00855A7A"/>
    <w:rsid w:val="008576AC"/>
    <w:rsid w:val="0085789B"/>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4BD"/>
    <w:rsid w:val="008C4762"/>
    <w:rsid w:val="008C5BDB"/>
    <w:rsid w:val="008C633B"/>
    <w:rsid w:val="008D14A4"/>
    <w:rsid w:val="008D20EE"/>
    <w:rsid w:val="008D2143"/>
    <w:rsid w:val="008D3516"/>
    <w:rsid w:val="008D4454"/>
    <w:rsid w:val="008D50D1"/>
    <w:rsid w:val="008D514E"/>
    <w:rsid w:val="008D5FE3"/>
    <w:rsid w:val="008D777B"/>
    <w:rsid w:val="008E2327"/>
    <w:rsid w:val="008E4C58"/>
    <w:rsid w:val="008E7AD0"/>
    <w:rsid w:val="008F0CC3"/>
    <w:rsid w:val="008F4E13"/>
    <w:rsid w:val="008F53A2"/>
    <w:rsid w:val="008F6135"/>
    <w:rsid w:val="008F725D"/>
    <w:rsid w:val="008F7B76"/>
    <w:rsid w:val="00902852"/>
    <w:rsid w:val="00902B60"/>
    <w:rsid w:val="00905172"/>
    <w:rsid w:val="009071EC"/>
    <w:rsid w:val="00907921"/>
    <w:rsid w:val="00907D56"/>
    <w:rsid w:val="009121C9"/>
    <w:rsid w:val="0091436D"/>
    <w:rsid w:val="009206D7"/>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06D9"/>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0ED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7EF"/>
    <w:rsid w:val="00A9315D"/>
    <w:rsid w:val="00A93213"/>
    <w:rsid w:val="00A94C23"/>
    <w:rsid w:val="00AA0400"/>
    <w:rsid w:val="00AA1C4A"/>
    <w:rsid w:val="00AA2503"/>
    <w:rsid w:val="00AA3A5F"/>
    <w:rsid w:val="00AA524E"/>
    <w:rsid w:val="00AA528E"/>
    <w:rsid w:val="00AA6B32"/>
    <w:rsid w:val="00AA7E73"/>
    <w:rsid w:val="00AB01DA"/>
    <w:rsid w:val="00AB2378"/>
    <w:rsid w:val="00AB47A5"/>
    <w:rsid w:val="00AB6365"/>
    <w:rsid w:val="00AC3C1D"/>
    <w:rsid w:val="00AC3C99"/>
    <w:rsid w:val="00AC4D7B"/>
    <w:rsid w:val="00AC5D86"/>
    <w:rsid w:val="00AC67BE"/>
    <w:rsid w:val="00AC6D26"/>
    <w:rsid w:val="00AC7A40"/>
    <w:rsid w:val="00AD1CD8"/>
    <w:rsid w:val="00AD2EFE"/>
    <w:rsid w:val="00AD458F"/>
    <w:rsid w:val="00AD464E"/>
    <w:rsid w:val="00AD48B5"/>
    <w:rsid w:val="00AD4E5C"/>
    <w:rsid w:val="00AD55A2"/>
    <w:rsid w:val="00AD5AC5"/>
    <w:rsid w:val="00AD67FA"/>
    <w:rsid w:val="00AD6F14"/>
    <w:rsid w:val="00AD75F5"/>
    <w:rsid w:val="00AE2086"/>
    <w:rsid w:val="00AE2480"/>
    <w:rsid w:val="00AE37C0"/>
    <w:rsid w:val="00AE42F8"/>
    <w:rsid w:val="00AE4D22"/>
    <w:rsid w:val="00AE5785"/>
    <w:rsid w:val="00AE7801"/>
    <w:rsid w:val="00AE7E6B"/>
    <w:rsid w:val="00AF1122"/>
    <w:rsid w:val="00AF12AE"/>
    <w:rsid w:val="00AF23E3"/>
    <w:rsid w:val="00AF4DB6"/>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4704"/>
    <w:rsid w:val="00B3509A"/>
    <w:rsid w:val="00B36CA6"/>
    <w:rsid w:val="00B373FD"/>
    <w:rsid w:val="00B5181C"/>
    <w:rsid w:val="00B568DA"/>
    <w:rsid w:val="00B56E21"/>
    <w:rsid w:val="00B57D76"/>
    <w:rsid w:val="00B60B2C"/>
    <w:rsid w:val="00B637F8"/>
    <w:rsid w:val="00B63805"/>
    <w:rsid w:val="00B63E86"/>
    <w:rsid w:val="00B65033"/>
    <w:rsid w:val="00B6523B"/>
    <w:rsid w:val="00B75DA9"/>
    <w:rsid w:val="00B8175C"/>
    <w:rsid w:val="00B81C4C"/>
    <w:rsid w:val="00B836D7"/>
    <w:rsid w:val="00B876C9"/>
    <w:rsid w:val="00B90B47"/>
    <w:rsid w:val="00B927B9"/>
    <w:rsid w:val="00B94B23"/>
    <w:rsid w:val="00B94F27"/>
    <w:rsid w:val="00B95CA3"/>
    <w:rsid w:val="00B9662E"/>
    <w:rsid w:val="00B977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1861"/>
    <w:rsid w:val="00BE417B"/>
    <w:rsid w:val="00BE41AC"/>
    <w:rsid w:val="00BE47E2"/>
    <w:rsid w:val="00BE695A"/>
    <w:rsid w:val="00BE6B7A"/>
    <w:rsid w:val="00BF0197"/>
    <w:rsid w:val="00BF16D0"/>
    <w:rsid w:val="00BF378B"/>
    <w:rsid w:val="00BF3AAA"/>
    <w:rsid w:val="00BF49A1"/>
    <w:rsid w:val="00BF5F06"/>
    <w:rsid w:val="00C001C3"/>
    <w:rsid w:val="00C03ABA"/>
    <w:rsid w:val="00C03EED"/>
    <w:rsid w:val="00C04458"/>
    <w:rsid w:val="00C050C8"/>
    <w:rsid w:val="00C10178"/>
    <w:rsid w:val="00C1126D"/>
    <w:rsid w:val="00C117BA"/>
    <w:rsid w:val="00C11E39"/>
    <w:rsid w:val="00C31469"/>
    <w:rsid w:val="00C31F64"/>
    <w:rsid w:val="00C3387B"/>
    <w:rsid w:val="00C34AB7"/>
    <w:rsid w:val="00C372E8"/>
    <w:rsid w:val="00C409FD"/>
    <w:rsid w:val="00C40BC4"/>
    <w:rsid w:val="00C41683"/>
    <w:rsid w:val="00C436F7"/>
    <w:rsid w:val="00C43C3B"/>
    <w:rsid w:val="00C43E51"/>
    <w:rsid w:val="00C45DA2"/>
    <w:rsid w:val="00C46829"/>
    <w:rsid w:val="00C5155E"/>
    <w:rsid w:val="00C51B11"/>
    <w:rsid w:val="00C522BF"/>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025"/>
    <w:rsid w:val="00D86289"/>
    <w:rsid w:val="00D901DE"/>
    <w:rsid w:val="00D920FC"/>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C6714"/>
    <w:rsid w:val="00DD311C"/>
    <w:rsid w:val="00DD379F"/>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4A73"/>
    <w:rsid w:val="00E44D49"/>
    <w:rsid w:val="00E4771D"/>
    <w:rsid w:val="00E47A22"/>
    <w:rsid w:val="00E5257D"/>
    <w:rsid w:val="00E56265"/>
    <w:rsid w:val="00E60832"/>
    <w:rsid w:val="00E609A0"/>
    <w:rsid w:val="00E61053"/>
    <w:rsid w:val="00E65E7E"/>
    <w:rsid w:val="00E664A6"/>
    <w:rsid w:val="00E67799"/>
    <w:rsid w:val="00E70F08"/>
    <w:rsid w:val="00E711CC"/>
    <w:rsid w:val="00E71C44"/>
    <w:rsid w:val="00E73C2D"/>
    <w:rsid w:val="00E81FA0"/>
    <w:rsid w:val="00E84391"/>
    <w:rsid w:val="00E86823"/>
    <w:rsid w:val="00E87D2A"/>
    <w:rsid w:val="00E90408"/>
    <w:rsid w:val="00E90EB0"/>
    <w:rsid w:val="00E913FA"/>
    <w:rsid w:val="00E9395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75B"/>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6688"/>
    <w:rsid w:val="00F46CA3"/>
    <w:rsid w:val="00F474F9"/>
    <w:rsid w:val="00F50B48"/>
    <w:rsid w:val="00F51522"/>
    <w:rsid w:val="00F52284"/>
    <w:rsid w:val="00F54608"/>
    <w:rsid w:val="00F6108D"/>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5681"/>
    <w:rsid w:val="00FA7684"/>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871"/>
    <w:rsid w:val="00FF3E4E"/>
    <w:rsid w:val="00FF4770"/>
    <w:rsid w:val="00FF606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DA9E5"/>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23D3-88BA-424E-BC0F-C03E00A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7275</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74</cp:revision>
  <cp:lastPrinted>2024-11-08T07:12:00Z</cp:lastPrinted>
  <dcterms:created xsi:type="dcterms:W3CDTF">2024-02-02T01:13:00Z</dcterms:created>
  <dcterms:modified xsi:type="dcterms:W3CDTF">2026-03-18T01:20:00Z</dcterms:modified>
</cp:coreProperties>
</file>