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51" w:type="dxa"/>
        <w:tblInd w:w="-34" w:type="dxa"/>
        <w:tblLayout w:type="fixed"/>
        <w:tblLook w:val="0000" w:firstRow="0" w:lastRow="0" w:firstColumn="0" w:lastColumn="0" w:noHBand="0" w:noVBand="0"/>
      </w:tblPr>
      <w:tblGrid>
        <w:gridCol w:w="7122"/>
        <w:gridCol w:w="7229"/>
      </w:tblGrid>
      <w:tr w:rsidR="00135B8A" w:rsidRPr="008C44BD" w:rsidTr="00135B8A">
        <w:tc>
          <w:tcPr>
            <w:tcW w:w="7122" w:type="dxa"/>
          </w:tcPr>
          <w:p w:rsidR="00135B8A" w:rsidRPr="008C44BD" w:rsidRDefault="00135B8A" w:rsidP="0079261B">
            <w:pPr>
              <w:widowControl w:val="0"/>
              <w:tabs>
                <w:tab w:val="center" w:pos="1843"/>
                <w:tab w:val="center" w:pos="6237"/>
              </w:tabs>
              <w:spacing w:before="60"/>
              <w:jc w:val="center"/>
            </w:pPr>
            <w:r w:rsidRPr="008C44BD">
              <w:t>UBND TỈNH ĐỒNG NAI</w:t>
            </w:r>
          </w:p>
          <w:p w:rsidR="00135B8A" w:rsidRPr="008C44BD" w:rsidRDefault="00135B8A" w:rsidP="0079261B">
            <w:pPr>
              <w:widowControl w:val="0"/>
              <w:tabs>
                <w:tab w:val="center" w:pos="1843"/>
                <w:tab w:val="center" w:pos="6237"/>
              </w:tabs>
              <w:jc w:val="center"/>
            </w:pPr>
            <w:r w:rsidRPr="008C44BD">
              <w:rPr>
                <w:b/>
              </w:rPr>
              <w:t>SỞ TÀI CHÍNH</w:t>
            </w:r>
          </w:p>
          <w:p w:rsidR="00135B8A" w:rsidRPr="008C44BD" w:rsidRDefault="00135B8A" w:rsidP="0079261B">
            <w:pPr>
              <w:widowControl w:val="0"/>
              <w:tabs>
                <w:tab w:val="center" w:pos="1843"/>
                <w:tab w:val="center" w:pos="6237"/>
              </w:tabs>
              <w:jc w:val="center"/>
            </w:pPr>
            <w:r w:rsidRPr="008C44BD">
              <w:t>–––––––––</w:t>
            </w:r>
          </w:p>
          <w:p w:rsidR="00135B8A" w:rsidRPr="008C44BD" w:rsidRDefault="00135B8A" w:rsidP="0079261B">
            <w:pPr>
              <w:widowControl w:val="0"/>
              <w:tabs>
                <w:tab w:val="center" w:pos="1843"/>
                <w:tab w:val="center" w:pos="6237"/>
              </w:tabs>
              <w:jc w:val="center"/>
            </w:pPr>
          </w:p>
        </w:tc>
        <w:tc>
          <w:tcPr>
            <w:tcW w:w="7229" w:type="dxa"/>
          </w:tcPr>
          <w:p w:rsidR="00135B8A" w:rsidRPr="008C44BD" w:rsidRDefault="00135B8A" w:rsidP="0079261B">
            <w:pPr>
              <w:widowControl w:val="0"/>
              <w:jc w:val="center"/>
              <w:rPr>
                <w:b/>
              </w:rPr>
            </w:pPr>
            <w:r w:rsidRPr="008C44BD">
              <w:rPr>
                <w:b/>
              </w:rPr>
              <w:t>CỘNG HÒA XÃ HỘI CHỦ NGHĨA VIỆT NAM</w:t>
            </w:r>
          </w:p>
          <w:p w:rsidR="00135B8A" w:rsidRPr="008C44BD" w:rsidRDefault="00135B8A" w:rsidP="0079261B">
            <w:pPr>
              <w:widowControl w:val="0"/>
              <w:jc w:val="center"/>
              <w:rPr>
                <w:b/>
              </w:rPr>
            </w:pPr>
            <w:r w:rsidRPr="008C44BD">
              <w:rPr>
                <w:b/>
              </w:rPr>
              <w:t>Độc lập - Tự do - Hạnh phúc</w:t>
            </w:r>
          </w:p>
          <w:p w:rsidR="00135B8A" w:rsidRPr="008C44BD" w:rsidRDefault="00135B8A" w:rsidP="0079261B">
            <w:pPr>
              <w:widowControl w:val="0"/>
              <w:tabs>
                <w:tab w:val="center" w:pos="1843"/>
                <w:tab w:val="center" w:pos="6237"/>
              </w:tabs>
              <w:jc w:val="center"/>
              <w:rPr>
                <w:b/>
              </w:rPr>
            </w:pPr>
            <w:r w:rsidRPr="008C44BD">
              <w:t>––––––––––––––––––</w:t>
            </w:r>
          </w:p>
          <w:p w:rsidR="00135B8A" w:rsidRPr="008C44BD" w:rsidRDefault="00135B8A" w:rsidP="00732D90">
            <w:pPr>
              <w:widowControl w:val="0"/>
              <w:tabs>
                <w:tab w:val="center" w:pos="1843"/>
                <w:tab w:val="center" w:pos="6237"/>
              </w:tabs>
              <w:spacing w:before="60" w:after="60"/>
              <w:jc w:val="center"/>
              <w:rPr>
                <w:b/>
              </w:rPr>
            </w:pPr>
            <w:r w:rsidRPr="008C44BD">
              <w:rPr>
                <w:b/>
              </w:rPr>
              <w:softHyphen/>
            </w:r>
            <w:r w:rsidRPr="008C44BD">
              <w:rPr>
                <w:b/>
              </w:rPr>
              <w:softHyphen/>
            </w:r>
            <w:r w:rsidRPr="008C44BD">
              <w:rPr>
                <w:i/>
              </w:rPr>
              <w:t xml:space="preserve">Đồng Nai, ngày  </w:t>
            </w:r>
            <w:r w:rsidR="00732D90">
              <w:rPr>
                <w:i/>
                <w:color w:val="F2F2F2"/>
              </w:rPr>
              <w:t xml:space="preserve">     </w:t>
            </w:r>
            <w:r w:rsidRPr="008C44BD">
              <w:rPr>
                <w:i/>
              </w:rPr>
              <w:t xml:space="preserve"> tháng </w:t>
            </w:r>
            <w:r w:rsidR="00732D90">
              <w:rPr>
                <w:i/>
                <w:color w:val="F2F2F2"/>
              </w:rPr>
              <w:t xml:space="preserve">     </w:t>
            </w:r>
            <w:r w:rsidRPr="008C44BD">
              <w:rPr>
                <w:i/>
              </w:rPr>
              <w:t xml:space="preserve"> năm 202</w:t>
            </w:r>
            <w:r w:rsidR="00732D90">
              <w:rPr>
                <w:i/>
              </w:rPr>
              <w:t>6</w:t>
            </w:r>
          </w:p>
        </w:tc>
      </w:tr>
    </w:tbl>
    <w:p w:rsidR="006B2967" w:rsidRDefault="006B2967" w:rsidP="00732D90">
      <w:pPr>
        <w:widowControl w:val="0"/>
        <w:tabs>
          <w:tab w:val="center" w:pos="1843"/>
          <w:tab w:val="center" w:pos="6237"/>
        </w:tabs>
        <w:jc w:val="center"/>
        <w:rPr>
          <w:b/>
        </w:rPr>
      </w:pPr>
    </w:p>
    <w:p w:rsidR="00732D90" w:rsidRDefault="00135B8A" w:rsidP="00732D90">
      <w:pPr>
        <w:widowControl w:val="0"/>
        <w:tabs>
          <w:tab w:val="center" w:pos="1843"/>
          <w:tab w:val="center" w:pos="6237"/>
        </w:tabs>
        <w:jc w:val="center"/>
        <w:rPr>
          <w:b/>
        </w:rPr>
      </w:pPr>
      <w:r w:rsidRPr="00135B8A">
        <w:rPr>
          <w:b/>
        </w:rPr>
        <w:t xml:space="preserve">BẢN SO SÁNH, THUYẾT MINH NỘI DUNG DỰ THẢO QUYẾT ĐỊNH </w:t>
      </w:r>
      <w:r w:rsidR="00732D90" w:rsidRPr="00732D90">
        <w:rPr>
          <w:b/>
        </w:rPr>
        <w:t xml:space="preserve">QUY ĐỊNH TIÊU CHUẨN, </w:t>
      </w:r>
    </w:p>
    <w:p w:rsidR="00732D90" w:rsidRDefault="00732D90" w:rsidP="00732D90">
      <w:pPr>
        <w:widowControl w:val="0"/>
        <w:tabs>
          <w:tab w:val="center" w:pos="1843"/>
          <w:tab w:val="center" w:pos="6237"/>
        </w:tabs>
        <w:jc w:val="center"/>
        <w:rPr>
          <w:b/>
        </w:rPr>
      </w:pPr>
      <w:r w:rsidRPr="00732D90">
        <w:rPr>
          <w:b/>
        </w:rPr>
        <w:t xml:space="preserve">ĐỊNH MỨC SỬ DỤNG XE Ô TÔ CHUYÊN DÙNG (TRỪ LĨNH VỰC Y TẾ) CỦA CÁC CƠ QUAN, </w:t>
      </w:r>
    </w:p>
    <w:p w:rsidR="00D86025" w:rsidRDefault="00732D90" w:rsidP="00732D90">
      <w:pPr>
        <w:widowControl w:val="0"/>
        <w:tabs>
          <w:tab w:val="center" w:pos="1843"/>
          <w:tab w:val="center" w:pos="6237"/>
        </w:tabs>
        <w:jc w:val="center"/>
        <w:rPr>
          <w:b/>
        </w:rPr>
      </w:pPr>
      <w:r w:rsidRPr="00732D90">
        <w:rPr>
          <w:b/>
        </w:rPr>
        <w:t>TỔ CHỨC, ĐƠN VỊ THUỘC PHẠM VI QUẢN LÝ TRÊN ĐỊA BÀN TỈNH ĐỒNG NA</w:t>
      </w:r>
      <w:r>
        <w:rPr>
          <w:b/>
        </w:rPr>
        <w:t>I</w:t>
      </w:r>
    </w:p>
    <w:p w:rsidR="00732D90" w:rsidRPr="00135B8A" w:rsidRDefault="00732D90" w:rsidP="00732D90">
      <w:pPr>
        <w:widowControl w:val="0"/>
        <w:tabs>
          <w:tab w:val="center" w:pos="1843"/>
          <w:tab w:val="center" w:pos="6237"/>
        </w:tabs>
        <w:jc w:val="center"/>
        <w:rPr>
          <w:b/>
        </w:rPr>
      </w:pPr>
    </w:p>
    <w:tbl>
      <w:tblPr>
        <w:tblStyle w:val="TableGrid"/>
        <w:tblW w:w="14741" w:type="dxa"/>
        <w:tblLayout w:type="fixed"/>
        <w:tblLook w:val="04A0" w:firstRow="1" w:lastRow="0" w:firstColumn="1" w:lastColumn="0" w:noHBand="0" w:noVBand="1"/>
      </w:tblPr>
      <w:tblGrid>
        <w:gridCol w:w="3652"/>
        <w:gridCol w:w="4111"/>
        <w:gridCol w:w="4252"/>
        <w:gridCol w:w="2726"/>
      </w:tblGrid>
      <w:tr w:rsidR="00732D90" w:rsidRPr="00135B8A" w:rsidTr="008848F9">
        <w:trPr>
          <w:tblHeader/>
        </w:trPr>
        <w:tc>
          <w:tcPr>
            <w:tcW w:w="3652" w:type="dxa"/>
            <w:vAlign w:val="center"/>
          </w:tcPr>
          <w:p w:rsidR="00732D90" w:rsidRPr="00732D90" w:rsidRDefault="00732D90" w:rsidP="006529D1">
            <w:pPr>
              <w:widowControl w:val="0"/>
              <w:spacing w:before="60" w:after="60"/>
              <w:jc w:val="center"/>
              <w:rPr>
                <w:b/>
                <w:sz w:val="22"/>
                <w:szCs w:val="22"/>
              </w:rPr>
            </w:pPr>
            <w:r w:rsidRPr="00732D90">
              <w:rPr>
                <w:b/>
                <w:color w:val="000000"/>
                <w:sz w:val="22"/>
                <w:szCs w:val="22"/>
                <w:shd w:val="clear" w:color="auto" w:fill="FFFFFF"/>
              </w:rPr>
              <w:t>Quyết định số 03/2025/QĐ-UBND ngày 09 tháng 01  năm 2025 của Ủy ban nhân dân tỉnh Đồng Nai</w:t>
            </w:r>
          </w:p>
        </w:tc>
        <w:tc>
          <w:tcPr>
            <w:tcW w:w="4111" w:type="dxa"/>
          </w:tcPr>
          <w:p w:rsidR="00732D90" w:rsidRPr="00732D90" w:rsidRDefault="00732D90" w:rsidP="006329D8">
            <w:pPr>
              <w:widowControl w:val="0"/>
              <w:tabs>
                <w:tab w:val="center" w:pos="1843"/>
              </w:tabs>
              <w:spacing w:before="60" w:after="60"/>
              <w:jc w:val="center"/>
              <w:rPr>
                <w:b/>
                <w:sz w:val="22"/>
                <w:szCs w:val="22"/>
              </w:rPr>
            </w:pPr>
            <w:r w:rsidRPr="00732D90">
              <w:rPr>
                <w:b/>
                <w:color w:val="000000"/>
                <w:sz w:val="22"/>
                <w:szCs w:val="22"/>
                <w:shd w:val="clear" w:color="auto" w:fill="FFFFFF"/>
              </w:rPr>
              <w:t>Quyết định số 26/2024/QĐ-UBND ngày 05 tháng 9 năm 2024 của Ủy ban nhân dân tỉnh Bình Phước</w:t>
            </w:r>
          </w:p>
        </w:tc>
        <w:tc>
          <w:tcPr>
            <w:tcW w:w="4252" w:type="dxa"/>
            <w:vAlign w:val="center"/>
          </w:tcPr>
          <w:p w:rsidR="00732D90" w:rsidRPr="00135B8A" w:rsidRDefault="00732D90" w:rsidP="00EA370E">
            <w:pPr>
              <w:widowControl w:val="0"/>
              <w:tabs>
                <w:tab w:val="center" w:pos="1843"/>
              </w:tabs>
              <w:spacing w:before="60" w:after="60"/>
              <w:jc w:val="center"/>
              <w:rPr>
                <w:b/>
                <w:sz w:val="22"/>
                <w:szCs w:val="22"/>
              </w:rPr>
            </w:pPr>
            <w:r>
              <w:rPr>
                <w:b/>
                <w:sz w:val="22"/>
                <w:szCs w:val="22"/>
              </w:rPr>
              <w:t xml:space="preserve">Dự thảo Quyết định </w:t>
            </w:r>
            <w:r w:rsidR="00EA370E">
              <w:rPr>
                <w:b/>
                <w:sz w:val="22"/>
                <w:szCs w:val="22"/>
              </w:rPr>
              <w:t>tiêu chuẩn, định mức xe ô tô chuyên dùng (trừ lĩnh vực y tế)</w:t>
            </w:r>
          </w:p>
        </w:tc>
        <w:tc>
          <w:tcPr>
            <w:tcW w:w="2726" w:type="dxa"/>
            <w:vAlign w:val="center"/>
          </w:tcPr>
          <w:p w:rsidR="00732D90" w:rsidRPr="00135B8A" w:rsidRDefault="00732D90" w:rsidP="004D1B89">
            <w:pPr>
              <w:widowControl w:val="0"/>
              <w:spacing w:before="60" w:after="60"/>
              <w:jc w:val="center"/>
              <w:rPr>
                <w:b/>
                <w:sz w:val="22"/>
                <w:szCs w:val="22"/>
              </w:rPr>
            </w:pPr>
            <w:r>
              <w:rPr>
                <w:b/>
                <w:sz w:val="22"/>
                <w:szCs w:val="22"/>
              </w:rPr>
              <w:t>Thuyết minh</w:t>
            </w:r>
          </w:p>
        </w:tc>
      </w:tr>
      <w:tr w:rsidR="00732D90" w:rsidRPr="00135B8A" w:rsidTr="008848F9">
        <w:tc>
          <w:tcPr>
            <w:tcW w:w="3652" w:type="dxa"/>
          </w:tcPr>
          <w:p w:rsidR="00732D90" w:rsidRPr="006529D1" w:rsidRDefault="00732D90" w:rsidP="006529D1">
            <w:pPr>
              <w:widowControl w:val="0"/>
              <w:tabs>
                <w:tab w:val="center" w:pos="1843"/>
              </w:tabs>
              <w:spacing w:before="60" w:after="60"/>
              <w:jc w:val="both"/>
              <w:rPr>
                <w:b/>
                <w:sz w:val="22"/>
                <w:szCs w:val="22"/>
              </w:rPr>
            </w:pPr>
            <w:r w:rsidRPr="006529D1">
              <w:rPr>
                <w:b/>
                <w:sz w:val="22"/>
                <w:szCs w:val="22"/>
              </w:rPr>
              <w:t>Điều 1. Phạm vi điều chỉnh</w:t>
            </w:r>
            <w:r>
              <w:rPr>
                <w:b/>
                <w:sz w:val="22"/>
                <w:szCs w:val="22"/>
              </w:rPr>
              <w:t xml:space="preserve"> và đối tượng áp dụng</w:t>
            </w:r>
          </w:p>
          <w:p w:rsidR="00EA370E" w:rsidRDefault="00EA370E" w:rsidP="00EA370E">
            <w:pPr>
              <w:spacing w:after="120"/>
              <w:jc w:val="both"/>
              <w:rPr>
                <w:sz w:val="22"/>
                <w:szCs w:val="22"/>
              </w:rPr>
            </w:pPr>
            <w:r w:rsidRPr="00EA370E">
              <w:rPr>
                <w:sz w:val="22"/>
                <w:szCs w:val="22"/>
              </w:rPr>
              <w:t>1. Quyết định này quy định tiêu chuẩn, định mức sử dụng xe ô tô chuyên dùng (đối tượng sử dụng, chủng loại, số lượng, mức giá) của cơ quan, tổ chức, đơn vị (không bao gồm các đơn vị sự nghiệp công lập tự đảm bảo chi thường xuyên và chi đầu tư) thuộc phạm vi quản lý trên địa bàn tỉnh Đồng Nai theo quy định tại các khoản 2, 3, 4 và 5 Điều 16 Nghị định số 72/2023/NĐ-CP ngày 26 tháng 9 năm 2023 của Chính phủ quy định tiêu chuẩn, định mức sử dụng xe ô tô.</w:t>
            </w:r>
          </w:p>
          <w:p w:rsidR="00732D90" w:rsidRPr="006529D1" w:rsidRDefault="00EA370E" w:rsidP="00EA370E">
            <w:pPr>
              <w:spacing w:after="120"/>
              <w:jc w:val="both"/>
              <w:rPr>
                <w:sz w:val="22"/>
                <w:szCs w:val="22"/>
              </w:rPr>
            </w:pPr>
            <w:r w:rsidRPr="00EA370E">
              <w:rPr>
                <w:sz w:val="22"/>
                <w:szCs w:val="22"/>
              </w:rPr>
              <w:t>2. Số lượng xe ô tô chuyên dùng tại Quyết định này là 283 (hai trăm tám mươi ba) xe ô tô theo Phụ lục chi tiết kèm theo.</w:t>
            </w:r>
          </w:p>
        </w:tc>
        <w:tc>
          <w:tcPr>
            <w:tcW w:w="4111" w:type="dxa"/>
          </w:tcPr>
          <w:p w:rsidR="00732D90" w:rsidRDefault="00EA370E" w:rsidP="006529D1">
            <w:pPr>
              <w:widowControl w:val="0"/>
              <w:tabs>
                <w:tab w:val="center" w:pos="1843"/>
              </w:tabs>
              <w:spacing w:before="60" w:after="60"/>
              <w:jc w:val="both"/>
              <w:rPr>
                <w:b/>
                <w:sz w:val="22"/>
                <w:szCs w:val="22"/>
              </w:rPr>
            </w:pPr>
            <w:r w:rsidRPr="006529D1">
              <w:rPr>
                <w:b/>
                <w:sz w:val="22"/>
                <w:szCs w:val="22"/>
              </w:rPr>
              <w:t>Điều 1. Phạm vi điều chỉnh</w:t>
            </w:r>
            <w:r>
              <w:rPr>
                <w:b/>
                <w:sz w:val="22"/>
                <w:szCs w:val="22"/>
              </w:rPr>
              <w:t xml:space="preserve"> và đối tượng áp dụng</w:t>
            </w:r>
          </w:p>
          <w:p w:rsidR="00800F33" w:rsidRDefault="00800F33" w:rsidP="006529D1">
            <w:pPr>
              <w:widowControl w:val="0"/>
              <w:tabs>
                <w:tab w:val="center" w:pos="1843"/>
              </w:tabs>
              <w:spacing w:before="60" w:after="60"/>
              <w:jc w:val="both"/>
              <w:rPr>
                <w:sz w:val="22"/>
                <w:szCs w:val="22"/>
              </w:rPr>
            </w:pPr>
            <w:r w:rsidRPr="00800F33">
              <w:rPr>
                <w:sz w:val="22"/>
                <w:szCs w:val="22"/>
              </w:rPr>
              <w:t xml:space="preserve">1. Quyết định này quy định tiêu chuẩn, định mức sử dụng xe ô tô chuyên dùng (trừ lĩnh vực y tế) trang bị cho các cơ quan, tổ chức, đơn vị thuộc phạm vi quản lý của tỉnh Bình Phước. </w:t>
            </w:r>
          </w:p>
          <w:p w:rsidR="00800F33" w:rsidRPr="00800F33" w:rsidRDefault="00800F33" w:rsidP="006529D1">
            <w:pPr>
              <w:widowControl w:val="0"/>
              <w:tabs>
                <w:tab w:val="center" w:pos="1843"/>
              </w:tabs>
              <w:spacing w:before="60" w:after="60"/>
              <w:jc w:val="both"/>
              <w:rPr>
                <w:b/>
                <w:sz w:val="22"/>
                <w:szCs w:val="22"/>
              </w:rPr>
            </w:pPr>
            <w:r w:rsidRPr="00800F33">
              <w:rPr>
                <w:sz w:val="22"/>
                <w:szCs w:val="22"/>
              </w:rPr>
              <w:t>2. Hội đồng quản lý, người đứng đầu đơn vị sự nghiệp công lập tự bảo đảm chi thường xuyên và chi đầu tư (trong trường hợp đơn vị sự nghiệp không có Hội đồng quản lý) ban hành tiêu chuẩn, định mức sử dụng xe ô tô chuyên dùng tại đơn vị.</w:t>
            </w:r>
          </w:p>
        </w:tc>
        <w:tc>
          <w:tcPr>
            <w:tcW w:w="4252" w:type="dxa"/>
          </w:tcPr>
          <w:p w:rsidR="00732D90" w:rsidRPr="006529D1" w:rsidRDefault="00732D90" w:rsidP="00EA370E">
            <w:pPr>
              <w:widowControl w:val="0"/>
              <w:tabs>
                <w:tab w:val="center" w:pos="1843"/>
              </w:tabs>
              <w:spacing w:before="60" w:after="60"/>
              <w:jc w:val="both"/>
              <w:rPr>
                <w:b/>
                <w:sz w:val="22"/>
                <w:szCs w:val="22"/>
              </w:rPr>
            </w:pPr>
            <w:r w:rsidRPr="006529D1">
              <w:rPr>
                <w:b/>
                <w:sz w:val="22"/>
                <w:szCs w:val="22"/>
              </w:rPr>
              <w:t>Điều 1. Phạm vi điều chỉnh</w:t>
            </w:r>
            <w:r w:rsidR="00EA370E">
              <w:rPr>
                <w:b/>
                <w:sz w:val="22"/>
                <w:szCs w:val="22"/>
              </w:rPr>
              <w:t xml:space="preserve"> và đối tượng áp dụng</w:t>
            </w:r>
          </w:p>
          <w:p w:rsidR="00EA370E" w:rsidRDefault="00EA370E" w:rsidP="00EA370E">
            <w:pPr>
              <w:tabs>
                <w:tab w:val="left" w:pos="2160"/>
                <w:tab w:val="left" w:pos="3119"/>
              </w:tabs>
              <w:spacing w:after="120"/>
              <w:jc w:val="both"/>
              <w:rPr>
                <w:sz w:val="22"/>
                <w:szCs w:val="22"/>
              </w:rPr>
            </w:pPr>
            <w:r w:rsidRPr="00EA370E">
              <w:rPr>
                <w:sz w:val="22"/>
                <w:szCs w:val="22"/>
              </w:rPr>
              <w:t>1.</w:t>
            </w:r>
            <w:r w:rsidRPr="00EA370E">
              <w:rPr>
                <w:b/>
                <w:sz w:val="22"/>
                <w:szCs w:val="22"/>
              </w:rPr>
              <w:t xml:space="preserve"> </w:t>
            </w:r>
            <w:r w:rsidRPr="00EA370E">
              <w:rPr>
                <w:sz w:val="22"/>
                <w:szCs w:val="22"/>
              </w:rPr>
              <w:t>Quyết định này quy định tiêu chuẩn, định mức sử dụng xe ô tô chuyên dùng (trừ lĩnh vực y tế) của các cơ quan, tổ chức, đơn vị thuộc phạm vi quản lý trên địa bàn tỉnh Đồng Nai theo quy định tại điểm b khoản 2 Điều 17 Nghị định số 72/2025/NĐ-CP ngày 26 tháng 9 năm 2023 của Chính phủ quy định tiêu chuẩn, định mức xe ô tô được sửa đổi, bổ sung bởi Nghị định số 153/2025/NĐ-CP ngày 15 tháng 6 năm 2025 của Chính phủ.</w:t>
            </w:r>
          </w:p>
          <w:p w:rsidR="00EA370E" w:rsidRDefault="00EA370E" w:rsidP="00EA370E">
            <w:pPr>
              <w:tabs>
                <w:tab w:val="left" w:pos="2160"/>
                <w:tab w:val="left" w:pos="3119"/>
              </w:tabs>
              <w:spacing w:after="120"/>
              <w:jc w:val="both"/>
              <w:rPr>
                <w:sz w:val="22"/>
                <w:szCs w:val="22"/>
              </w:rPr>
            </w:pPr>
            <w:r w:rsidRPr="00EA370E">
              <w:rPr>
                <w:sz w:val="22"/>
                <w:szCs w:val="22"/>
              </w:rPr>
              <w:t>2. Quyết định này không điều chỉnh đối với các đơn vị sự nghiệp công lập tự đảm bảo chi thường xuyên và chi đầu tư.</w:t>
            </w:r>
          </w:p>
          <w:p w:rsidR="00732D90" w:rsidRDefault="00EA370E" w:rsidP="00EA370E">
            <w:pPr>
              <w:tabs>
                <w:tab w:val="left" w:pos="2160"/>
                <w:tab w:val="left" w:pos="3119"/>
              </w:tabs>
              <w:spacing w:after="120"/>
              <w:jc w:val="both"/>
              <w:rPr>
                <w:sz w:val="22"/>
                <w:szCs w:val="22"/>
              </w:rPr>
            </w:pPr>
            <w:r w:rsidRPr="00EA370E">
              <w:rPr>
                <w:sz w:val="22"/>
                <w:szCs w:val="22"/>
              </w:rPr>
              <w:t xml:space="preserve">3. Các nội dung không được quy định tại Quyết định này thì thực hiện theo quy định tại Nghị định số 72/2025/NĐ-CP ngày 26 tháng 9 năm 2023 của Chính phủ quy định tiêu chuẩn, định mức xe ô tô được sửa đổi, bổ sung bởi Nghị định số 153/2025/NĐ-CP ngày 15 tháng 6 năm 2025 của Chính phủ và </w:t>
            </w:r>
            <w:r w:rsidRPr="00EA370E">
              <w:rPr>
                <w:sz w:val="22"/>
                <w:szCs w:val="22"/>
              </w:rPr>
              <w:lastRenderedPageBreak/>
              <w:t>các quy định pháp luật có liên quan.</w:t>
            </w:r>
          </w:p>
        </w:tc>
        <w:tc>
          <w:tcPr>
            <w:tcW w:w="2726" w:type="dxa"/>
          </w:tcPr>
          <w:p w:rsidR="00800F33" w:rsidRDefault="009D44F8" w:rsidP="004D1B89">
            <w:pPr>
              <w:widowControl w:val="0"/>
              <w:tabs>
                <w:tab w:val="center" w:pos="1843"/>
              </w:tabs>
              <w:spacing w:before="60" w:after="60"/>
              <w:jc w:val="both"/>
              <w:rPr>
                <w:sz w:val="22"/>
                <w:szCs w:val="22"/>
              </w:rPr>
            </w:pPr>
            <w:r>
              <w:rPr>
                <w:sz w:val="22"/>
                <w:szCs w:val="22"/>
              </w:rPr>
              <w:lastRenderedPageBreak/>
              <w:t>- Giữ nguyên phạm vi điều chỉnh và đối tượng áp dụng.</w:t>
            </w:r>
          </w:p>
          <w:p w:rsidR="00800F33" w:rsidRDefault="00800F33" w:rsidP="00800F33">
            <w:pPr>
              <w:widowControl w:val="0"/>
              <w:tabs>
                <w:tab w:val="center" w:pos="1843"/>
              </w:tabs>
              <w:spacing w:before="60" w:after="60"/>
              <w:jc w:val="both"/>
              <w:rPr>
                <w:sz w:val="22"/>
                <w:szCs w:val="22"/>
              </w:rPr>
            </w:pPr>
            <w:r w:rsidRPr="00800F33">
              <w:rPr>
                <w:sz w:val="22"/>
                <w:szCs w:val="22"/>
              </w:rPr>
              <w:t>- Bổ sung nội dung:</w:t>
            </w:r>
            <w:r>
              <w:rPr>
                <w:b/>
                <w:sz w:val="22"/>
                <w:szCs w:val="22"/>
              </w:rPr>
              <w:t xml:space="preserve"> </w:t>
            </w:r>
            <w:r w:rsidRPr="00EA370E">
              <w:rPr>
                <w:sz w:val="22"/>
                <w:szCs w:val="22"/>
              </w:rPr>
              <w:t>Các nội dung không được quy định tại Quyết định này thì thực hiện theo quy định tại Nghị định số 72/2025/NĐ-CP ngày 26 tháng 9 năm 2023 của Chính phủ quy định tiêu chuẩn, định mức xe ô tô được sửa đổi, bổ sung bởi Nghị định số 153/2025/NĐ-CP ngày 15 tháng 6 năm 2025 của Chính phủ và các quy định pháp luật có liên quan.</w:t>
            </w:r>
          </w:p>
          <w:p w:rsidR="006B2967" w:rsidRPr="00800F33" w:rsidRDefault="006B2967" w:rsidP="00800F33">
            <w:pPr>
              <w:widowControl w:val="0"/>
              <w:tabs>
                <w:tab w:val="center" w:pos="1843"/>
              </w:tabs>
              <w:spacing w:before="60" w:after="60"/>
              <w:jc w:val="both"/>
              <w:rPr>
                <w:b/>
                <w:sz w:val="22"/>
                <w:szCs w:val="22"/>
              </w:rPr>
            </w:pPr>
            <w:r>
              <w:rPr>
                <w:sz w:val="22"/>
                <w:szCs w:val="22"/>
              </w:rPr>
              <w:t xml:space="preserve">- Chuyển nội dung quy định về số lượng xe ô tô chuyên dùng </w:t>
            </w:r>
            <w:r w:rsidRPr="000916ED">
              <w:rPr>
                <w:color w:val="000000"/>
                <w:sz w:val="22"/>
                <w:szCs w:val="22"/>
                <w:shd w:val="clear" w:color="auto" w:fill="FFFFFF"/>
              </w:rPr>
              <w:t xml:space="preserve">Quyết định số 03/2025/QĐ-UBND ngày 09 tháng 01  năm 2025 của Ủy ban nhân dân tỉnh Đồng </w:t>
            </w:r>
            <w:r w:rsidRPr="000916ED">
              <w:rPr>
                <w:color w:val="000000"/>
                <w:sz w:val="22"/>
                <w:szCs w:val="22"/>
                <w:shd w:val="clear" w:color="auto" w:fill="FFFFFF"/>
              </w:rPr>
              <w:lastRenderedPageBreak/>
              <w:t>Nai</w:t>
            </w:r>
            <w:r>
              <w:rPr>
                <w:color w:val="000000"/>
                <w:sz w:val="22"/>
                <w:szCs w:val="22"/>
                <w:shd w:val="clear" w:color="auto" w:fill="FFFFFF"/>
              </w:rPr>
              <w:t xml:space="preserve"> sang Điều 2 dự thảo Quyết định.</w:t>
            </w:r>
          </w:p>
        </w:tc>
      </w:tr>
      <w:tr w:rsidR="00732D90" w:rsidRPr="00135B8A" w:rsidTr="008848F9">
        <w:trPr>
          <w:trHeight w:val="425"/>
        </w:trPr>
        <w:tc>
          <w:tcPr>
            <w:tcW w:w="3652" w:type="dxa"/>
          </w:tcPr>
          <w:p w:rsidR="00EA370E" w:rsidRDefault="000916ED" w:rsidP="00EA370E">
            <w:pPr>
              <w:widowControl w:val="0"/>
              <w:tabs>
                <w:tab w:val="center" w:pos="1843"/>
              </w:tabs>
              <w:spacing w:after="120"/>
              <w:jc w:val="both"/>
              <w:rPr>
                <w:sz w:val="22"/>
                <w:szCs w:val="22"/>
              </w:rPr>
            </w:pPr>
            <w:r w:rsidRPr="000916ED">
              <w:rPr>
                <w:color w:val="000000"/>
                <w:sz w:val="22"/>
                <w:szCs w:val="22"/>
                <w:shd w:val="clear" w:color="auto" w:fill="FFFFFF"/>
              </w:rPr>
              <w:lastRenderedPageBreak/>
              <w:t>Tại Quyết định số 03/2025/QĐ-UBND ngày 09 tháng 01  năm 2025 của Ủy ban nhân dân tỉnh Đồng Nai</w:t>
            </w:r>
            <w:r>
              <w:rPr>
                <w:color w:val="000000"/>
                <w:sz w:val="22"/>
                <w:szCs w:val="22"/>
                <w:shd w:val="clear" w:color="auto" w:fill="FFFFFF"/>
              </w:rPr>
              <w:t xml:space="preserve">, </w:t>
            </w:r>
            <w:r>
              <w:rPr>
                <w:sz w:val="22"/>
                <w:szCs w:val="22"/>
              </w:rPr>
              <w:t>t</w:t>
            </w:r>
            <w:r w:rsidRPr="000916ED">
              <w:rPr>
                <w:sz w:val="22"/>
                <w:szCs w:val="22"/>
              </w:rPr>
              <w:t>iêu chuẩn, định mức sử dụng xe ô tô chuyên dùng</w:t>
            </w:r>
            <w:r>
              <w:rPr>
                <w:sz w:val="22"/>
                <w:szCs w:val="22"/>
              </w:rPr>
              <w:t xml:space="preserve"> được thể hiện tại Điều 1:</w:t>
            </w:r>
          </w:p>
          <w:p w:rsidR="000916ED" w:rsidRPr="000916ED" w:rsidRDefault="000916ED" w:rsidP="00EA370E">
            <w:pPr>
              <w:widowControl w:val="0"/>
              <w:tabs>
                <w:tab w:val="center" w:pos="1843"/>
              </w:tabs>
              <w:spacing w:after="120"/>
              <w:jc w:val="both"/>
              <w:rPr>
                <w:sz w:val="22"/>
                <w:szCs w:val="22"/>
              </w:rPr>
            </w:pPr>
            <w:r w:rsidRPr="00EA370E">
              <w:rPr>
                <w:sz w:val="22"/>
                <w:szCs w:val="22"/>
              </w:rPr>
              <w:t>Số lượng xe ô tô chuyên dùng tại Quyết định này là 283 (hai trăm tám mươi ba) xe ô tô theo Phụ lục chi tiết kèm theo.</w:t>
            </w:r>
          </w:p>
          <w:p w:rsidR="00732D90" w:rsidRPr="006529D1" w:rsidRDefault="00732D90" w:rsidP="006529D1">
            <w:pPr>
              <w:widowControl w:val="0"/>
              <w:tabs>
                <w:tab w:val="center" w:pos="1843"/>
              </w:tabs>
              <w:spacing w:before="60" w:after="60"/>
              <w:jc w:val="both"/>
              <w:rPr>
                <w:sz w:val="22"/>
                <w:szCs w:val="22"/>
              </w:rPr>
            </w:pPr>
          </w:p>
        </w:tc>
        <w:tc>
          <w:tcPr>
            <w:tcW w:w="4111" w:type="dxa"/>
          </w:tcPr>
          <w:p w:rsidR="00732D90" w:rsidRDefault="000916ED" w:rsidP="001E2B9F">
            <w:pPr>
              <w:widowControl w:val="0"/>
              <w:tabs>
                <w:tab w:val="center" w:pos="1843"/>
              </w:tabs>
              <w:spacing w:before="60" w:after="60"/>
              <w:jc w:val="both"/>
              <w:rPr>
                <w:b/>
                <w:sz w:val="22"/>
                <w:szCs w:val="22"/>
              </w:rPr>
            </w:pPr>
            <w:r w:rsidRPr="001E2B9F">
              <w:rPr>
                <w:b/>
                <w:sz w:val="22"/>
                <w:szCs w:val="22"/>
              </w:rPr>
              <w:t xml:space="preserve">Điều 2. </w:t>
            </w:r>
            <w:r w:rsidRPr="000916ED">
              <w:rPr>
                <w:b/>
                <w:sz w:val="22"/>
                <w:szCs w:val="22"/>
              </w:rPr>
              <w:t>Tiêu chuẩn, định mức sử dụng xe ô tô chuyên dùng (trừ lĩnh vực y tế)</w:t>
            </w:r>
          </w:p>
          <w:p w:rsidR="009D44F8" w:rsidRDefault="009D44F8" w:rsidP="001E2B9F">
            <w:pPr>
              <w:widowControl w:val="0"/>
              <w:tabs>
                <w:tab w:val="center" w:pos="1843"/>
              </w:tabs>
              <w:spacing w:before="60" w:after="60"/>
              <w:jc w:val="both"/>
              <w:rPr>
                <w:sz w:val="22"/>
                <w:szCs w:val="22"/>
              </w:rPr>
            </w:pPr>
            <w:r w:rsidRPr="009D44F8">
              <w:rPr>
                <w:sz w:val="22"/>
                <w:szCs w:val="22"/>
              </w:rPr>
              <w:t xml:space="preserve">1. Tiêu chuẩn, định mức sử dụng xe ô tô chuyên dùng được quy định chi tiết tại Phụ lục 01 kèm theo Quyết định này. </w:t>
            </w:r>
          </w:p>
          <w:p w:rsidR="009D44F8" w:rsidRPr="009D44F8" w:rsidRDefault="009D44F8" w:rsidP="001E2B9F">
            <w:pPr>
              <w:widowControl w:val="0"/>
              <w:tabs>
                <w:tab w:val="center" w:pos="1843"/>
              </w:tabs>
              <w:spacing w:before="60" w:after="60"/>
              <w:jc w:val="both"/>
              <w:rPr>
                <w:b/>
                <w:sz w:val="22"/>
                <w:szCs w:val="22"/>
              </w:rPr>
            </w:pPr>
            <w:r w:rsidRPr="009D44F8">
              <w:rPr>
                <w:sz w:val="22"/>
                <w:szCs w:val="22"/>
              </w:rPr>
              <w:t>2. Mức giá mua xe ô tô chuyên dùng được quy định chi tiết tại Phụ lục 02 kèm theo Quyết định này. Giá mua xe là giá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tc>
        <w:tc>
          <w:tcPr>
            <w:tcW w:w="4252" w:type="dxa"/>
          </w:tcPr>
          <w:p w:rsidR="00EA370E" w:rsidRPr="00135B8A" w:rsidRDefault="00732D90" w:rsidP="00EA370E">
            <w:pPr>
              <w:widowControl w:val="0"/>
              <w:tabs>
                <w:tab w:val="center" w:pos="1843"/>
              </w:tabs>
              <w:spacing w:before="60" w:after="60"/>
              <w:jc w:val="both"/>
              <w:rPr>
                <w:sz w:val="22"/>
                <w:szCs w:val="22"/>
              </w:rPr>
            </w:pPr>
            <w:r w:rsidRPr="001E2B9F">
              <w:rPr>
                <w:b/>
                <w:sz w:val="22"/>
                <w:szCs w:val="22"/>
              </w:rPr>
              <w:t xml:space="preserve">Điều 2. </w:t>
            </w:r>
            <w:r w:rsidR="000916ED" w:rsidRPr="000916ED">
              <w:rPr>
                <w:b/>
                <w:sz w:val="22"/>
                <w:szCs w:val="22"/>
              </w:rPr>
              <w:t>Tiêu chuẩn, định mức sử dụng xe ô tô chuyên dùng (trừ lĩnh vực y tế)</w:t>
            </w:r>
          </w:p>
          <w:p w:rsidR="000916ED" w:rsidRPr="000916ED" w:rsidRDefault="000916ED" w:rsidP="000916ED">
            <w:pPr>
              <w:tabs>
                <w:tab w:val="left" w:pos="2160"/>
                <w:tab w:val="left" w:pos="3119"/>
              </w:tabs>
              <w:spacing w:after="120"/>
              <w:jc w:val="both"/>
              <w:rPr>
                <w:sz w:val="22"/>
                <w:szCs w:val="22"/>
              </w:rPr>
            </w:pPr>
            <w:r w:rsidRPr="000916ED">
              <w:rPr>
                <w:sz w:val="22"/>
                <w:szCs w:val="22"/>
              </w:rPr>
              <w:t>1. Số lượng, chủng loại xe ô tô chuyên dùng (trừ lĩnh vực y tế) của các cơ quan, tổ chức, đơn vị thuộc phạm vi quản lý trên địa bàn tỉnh Đồng Nai được quy định chi tiết tại Phụ lục kèm theo Quyết định này.</w:t>
            </w:r>
          </w:p>
          <w:p w:rsidR="00732D90" w:rsidRPr="00135B8A" w:rsidRDefault="000916ED" w:rsidP="000916ED">
            <w:pPr>
              <w:widowControl w:val="0"/>
              <w:tabs>
                <w:tab w:val="center" w:pos="1843"/>
              </w:tabs>
              <w:spacing w:after="120"/>
              <w:jc w:val="both"/>
              <w:rPr>
                <w:sz w:val="22"/>
                <w:szCs w:val="22"/>
              </w:rPr>
            </w:pPr>
            <w:r w:rsidRPr="000916ED">
              <w:rPr>
                <w:sz w:val="22"/>
                <w:szCs w:val="22"/>
              </w:rPr>
              <w:t>2. Giá trang bị xe ô tô chuyên dùng (trừ lĩnh vực y tế) là giá tại thời điểm mua sắm do cơ quan, tổ chức, đơn vị trình cơ quan, người có thẩm quyền xác định phù hợp với giá mua trên thị trường của chủng loại xe tương ứng theo quy định tại khoản 3 Điều 17 Nghị định số 72/2025/NĐ-CP ngày 26 tháng 9 năm 2023 của Chính phủ quy định tiêu chuẩn, định mức xe ô tô được sửa đổi, bổ sung bởi Nghị định số 153/2025/NĐ-CP ngày 15 tháng 6 năm 2025 của Chính phủ.</w:t>
            </w:r>
          </w:p>
        </w:tc>
        <w:tc>
          <w:tcPr>
            <w:tcW w:w="2726" w:type="dxa"/>
          </w:tcPr>
          <w:p w:rsidR="00732D90" w:rsidRDefault="000916ED" w:rsidP="004D1B89">
            <w:pPr>
              <w:widowControl w:val="0"/>
              <w:tabs>
                <w:tab w:val="center" w:pos="1843"/>
              </w:tabs>
              <w:spacing w:before="60" w:after="60"/>
              <w:jc w:val="both"/>
              <w:rPr>
                <w:sz w:val="22"/>
                <w:szCs w:val="22"/>
              </w:rPr>
            </w:pPr>
            <w:r>
              <w:rPr>
                <w:sz w:val="22"/>
                <w:szCs w:val="22"/>
              </w:rPr>
              <w:t>- Điều chỉnh về số lượng xe ô tô chuyên dùng (trừ lĩnh vực y tế) do tổng hợp số lượng xe ô tô chuyên dùng từ tỉnh Đồng Nai (trước sắp xếp) và tỉnh Bình Phước (trước sắp xếp).</w:t>
            </w:r>
          </w:p>
          <w:p w:rsidR="000916ED" w:rsidRDefault="000916ED" w:rsidP="004D1B89">
            <w:pPr>
              <w:widowControl w:val="0"/>
              <w:tabs>
                <w:tab w:val="center" w:pos="1843"/>
              </w:tabs>
              <w:spacing w:before="60" w:after="60"/>
              <w:jc w:val="both"/>
              <w:rPr>
                <w:color w:val="000000"/>
                <w:sz w:val="22"/>
                <w:szCs w:val="22"/>
                <w:shd w:val="clear" w:color="auto" w:fill="FFFFFF"/>
              </w:rPr>
            </w:pPr>
            <w:r>
              <w:rPr>
                <w:sz w:val="22"/>
                <w:szCs w:val="22"/>
              </w:rPr>
              <w:t xml:space="preserve">- Bổ sung nội dung </w:t>
            </w:r>
            <w:r w:rsidR="00800F33">
              <w:rPr>
                <w:sz w:val="22"/>
                <w:szCs w:val="22"/>
              </w:rPr>
              <w:t xml:space="preserve">“xe ô tô chuyên dùng trừ lĩnh vực y tế” so với </w:t>
            </w:r>
            <w:r w:rsidR="00800F33" w:rsidRPr="000916ED">
              <w:rPr>
                <w:color w:val="000000"/>
                <w:sz w:val="22"/>
                <w:szCs w:val="22"/>
                <w:shd w:val="clear" w:color="auto" w:fill="FFFFFF"/>
              </w:rPr>
              <w:t>Quyết định số 03/2025/QĐ-UBND ngày 09 tháng 01  năm 2025 của Ủy ban nhân dân tỉnh Đồng Nai</w:t>
            </w:r>
            <w:r w:rsidR="00800F33">
              <w:rPr>
                <w:color w:val="000000"/>
                <w:sz w:val="22"/>
                <w:szCs w:val="22"/>
                <w:shd w:val="clear" w:color="auto" w:fill="FFFFFF"/>
              </w:rPr>
              <w:t>.</w:t>
            </w:r>
          </w:p>
          <w:p w:rsidR="00800F33" w:rsidRDefault="00800F33" w:rsidP="004D1B89">
            <w:pPr>
              <w:widowControl w:val="0"/>
              <w:tabs>
                <w:tab w:val="center" w:pos="1843"/>
              </w:tabs>
              <w:spacing w:before="60" w:after="60"/>
              <w:jc w:val="both"/>
              <w:rPr>
                <w:color w:val="000000"/>
                <w:sz w:val="22"/>
                <w:szCs w:val="22"/>
                <w:shd w:val="clear" w:color="auto" w:fill="FFFFFF"/>
              </w:rPr>
            </w:pPr>
            <w:r>
              <w:rPr>
                <w:color w:val="000000"/>
                <w:sz w:val="22"/>
                <w:szCs w:val="22"/>
                <w:shd w:val="clear" w:color="auto" w:fill="FFFFFF"/>
              </w:rPr>
              <w:t>Lý do: Tiêu chuẩn, định mức xe ô tô chuyên dùng trong lĩnh vực y tế được UBND tỉnh giao Sở Y tế tham mưu ban hành quyết định riêng.</w:t>
            </w:r>
          </w:p>
          <w:p w:rsidR="009D44F8" w:rsidRPr="00135B8A" w:rsidRDefault="009D44F8" w:rsidP="004D1B89">
            <w:pPr>
              <w:widowControl w:val="0"/>
              <w:tabs>
                <w:tab w:val="center" w:pos="1843"/>
              </w:tabs>
              <w:spacing w:before="60" w:after="60"/>
              <w:jc w:val="both"/>
              <w:rPr>
                <w:sz w:val="22"/>
                <w:szCs w:val="22"/>
              </w:rPr>
            </w:pPr>
            <w:r>
              <w:rPr>
                <w:color w:val="000000"/>
                <w:sz w:val="22"/>
                <w:szCs w:val="22"/>
                <w:shd w:val="clear" w:color="auto" w:fill="FFFFFF"/>
              </w:rPr>
              <w:t xml:space="preserve">- Điều chỉnh, bổ sung nội dung giá mua xe ô tô chuyên dùng so với 02 quyết định cũ. Lý do: Đảm bảo phù hợp với </w:t>
            </w:r>
            <w:r w:rsidRPr="000916ED">
              <w:rPr>
                <w:sz w:val="22"/>
                <w:szCs w:val="22"/>
              </w:rPr>
              <w:t>khoản 3 Điều 17 Nghị định số 72/2025/NĐ-CP ngày 26 tháng 9 năm 2023 của Chính phủ</w:t>
            </w:r>
            <w:r>
              <w:rPr>
                <w:sz w:val="22"/>
                <w:szCs w:val="22"/>
              </w:rPr>
              <w:t>.</w:t>
            </w:r>
          </w:p>
        </w:tc>
      </w:tr>
      <w:tr w:rsidR="000916ED" w:rsidRPr="00135B8A" w:rsidTr="008848F9">
        <w:trPr>
          <w:trHeight w:val="425"/>
        </w:trPr>
        <w:tc>
          <w:tcPr>
            <w:tcW w:w="3652" w:type="dxa"/>
          </w:tcPr>
          <w:p w:rsidR="000916ED" w:rsidRDefault="000916ED" w:rsidP="000916ED">
            <w:pPr>
              <w:widowControl w:val="0"/>
              <w:tabs>
                <w:tab w:val="center" w:pos="1843"/>
              </w:tabs>
              <w:spacing w:before="60" w:after="60"/>
              <w:jc w:val="both"/>
              <w:rPr>
                <w:b/>
                <w:sz w:val="22"/>
                <w:szCs w:val="22"/>
              </w:rPr>
            </w:pPr>
            <w:r w:rsidRPr="006529D1">
              <w:rPr>
                <w:b/>
                <w:sz w:val="22"/>
                <w:szCs w:val="22"/>
              </w:rPr>
              <w:t xml:space="preserve">Điều 2. </w:t>
            </w:r>
            <w:r>
              <w:rPr>
                <w:b/>
                <w:sz w:val="22"/>
                <w:szCs w:val="22"/>
              </w:rPr>
              <w:t>Trách nhiệm thực hiện</w:t>
            </w:r>
          </w:p>
          <w:p w:rsidR="000916ED" w:rsidRPr="00EA370E" w:rsidRDefault="000916ED" w:rsidP="000916ED">
            <w:pPr>
              <w:spacing w:after="120"/>
              <w:jc w:val="both"/>
              <w:rPr>
                <w:sz w:val="22"/>
                <w:szCs w:val="22"/>
              </w:rPr>
            </w:pPr>
            <w:r w:rsidRPr="00EA370E">
              <w:rPr>
                <w:sz w:val="22"/>
                <w:szCs w:val="22"/>
              </w:rPr>
              <w:lastRenderedPageBreak/>
              <w:t>1. Các cơ quan, tổ chức, đơn vị căn cứ tiêu chuẩn, định mức để thực hiện trang bị xe ô tô chuyên dùng quản lý, sử dụng theo đúng quy định hiện hành, kịp thời báo cáo Sở Tài chính tham mưu Ủy ban nhân dân tỉnh điều chỉnh chủng loại, số lượng, mức giá khi có thay đổi cho phù hợp thực tế, quy định có liên quan.</w:t>
            </w:r>
          </w:p>
          <w:p w:rsidR="000916ED" w:rsidRPr="00EA370E" w:rsidRDefault="000916ED" w:rsidP="000916ED">
            <w:pPr>
              <w:spacing w:after="120"/>
              <w:jc w:val="both"/>
              <w:rPr>
                <w:sz w:val="22"/>
                <w:szCs w:val="22"/>
              </w:rPr>
            </w:pPr>
            <w:r w:rsidRPr="00EA370E">
              <w:rPr>
                <w:sz w:val="22"/>
                <w:szCs w:val="22"/>
              </w:rPr>
              <w:t>2. Sở Tài chính tổ chức kiểm tra việc mua sắm, quản lý, sử dụng xe ô tô chuyên dùng của các cơ quan, tổ chức, đơn vị trên địa bàn tỉnh, tham mưu Ủy ban nhân dân tỉnh xử lý các trường hợp vi phạm.</w:t>
            </w:r>
          </w:p>
          <w:p w:rsidR="000916ED" w:rsidRPr="00EA370E" w:rsidRDefault="000916ED" w:rsidP="000916ED">
            <w:pPr>
              <w:widowControl w:val="0"/>
              <w:tabs>
                <w:tab w:val="center" w:pos="1843"/>
              </w:tabs>
              <w:spacing w:after="120"/>
              <w:jc w:val="both"/>
              <w:rPr>
                <w:b/>
                <w:sz w:val="22"/>
                <w:szCs w:val="22"/>
              </w:rPr>
            </w:pPr>
            <w:r w:rsidRPr="00EA370E">
              <w:rPr>
                <w:sz w:val="22"/>
                <w:szCs w:val="22"/>
              </w:rPr>
              <w:t>3. Kho bạc nhà nước chịu trách nhiệm kiểm soát chi theo quy định pháp luật và theo định mức ban hành tại Quyết định này.</w:t>
            </w:r>
          </w:p>
        </w:tc>
        <w:tc>
          <w:tcPr>
            <w:tcW w:w="4111" w:type="dxa"/>
          </w:tcPr>
          <w:p w:rsidR="000916ED" w:rsidRDefault="009D44F8" w:rsidP="001E2B9F">
            <w:pPr>
              <w:widowControl w:val="0"/>
              <w:tabs>
                <w:tab w:val="center" w:pos="1843"/>
              </w:tabs>
              <w:spacing w:before="60" w:after="60"/>
              <w:jc w:val="both"/>
              <w:rPr>
                <w:b/>
                <w:sz w:val="22"/>
                <w:szCs w:val="22"/>
              </w:rPr>
            </w:pPr>
            <w:r>
              <w:rPr>
                <w:b/>
                <w:sz w:val="22"/>
                <w:szCs w:val="22"/>
              </w:rPr>
              <w:lastRenderedPageBreak/>
              <w:t>Điều 3. Tổ chức thực hiện</w:t>
            </w:r>
          </w:p>
          <w:p w:rsidR="009D44F8" w:rsidRPr="009D44F8" w:rsidRDefault="009D44F8" w:rsidP="001E2B9F">
            <w:pPr>
              <w:widowControl w:val="0"/>
              <w:tabs>
                <w:tab w:val="center" w:pos="1843"/>
              </w:tabs>
              <w:spacing w:before="60" w:after="60"/>
              <w:jc w:val="both"/>
              <w:rPr>
                <w:b/>
                <w:sz w:val="22"/>
                <w:szCs w:val="22"/>
              </w:rPr>
            </w:pPr>
            <w:r w:rsidRPr="009D44F8">
              <w:rPr>
                <w:sz w:val="22"/>
                <w:szCs w:val="22"/>
              </w:rPr>
              <w:lastRenderedPageBreak/>
              <w:t>Thủ trưởng các cơ quan, tổ chức, đơn vị căn cứ vào tiêu chuẩn, định mức sử dụng xe ô tô chuyên dùng quy định tại Quyết định này và các quy định của pháp luật có liên quan để lập kế hoạch và dự toán ngân sách; giao, mua sắm xe ô tô chuyên dùng; quản lý, sử dụng xe ô tô chuyên dùng và chịu trách nhiệm đối với việc mua sắm, trang bị và quản lý, sử dụng xe ô tô chuyên dùng của cơ quan, tổ chức, đơn vị theo quy định của Luật Quản lý, sử dụng tài sản công, Luật Thực hành tiết kiệm, chống lãng phí và các quy định của pháp luật khác có liên quan.</w:t>
            </w:r>
          </w:p>
        </w:tc>
        <w:tc>
          <w:tcPr>
            <w:tcW w:w="4252" w:type="dxa"/>
          </w:tcPr>
          <w:p w:rsidR="000916ED" w:rsidRDefault="009D44F8" w:rsidP="00EA370E">
            <w:pPr>
              <w:widowControl w:val="0"/>
              <w:tabs>
                <w:tab w:val="center" w:pos="1843"/>
              </w:tabs>
              <w:spacing w:before="60" w:after="60"/>
              <w:jc w:val="both"/>
              <w:rPr>
                <w:b/>
                <w:sz w:val="22"/>
                <w:szCs w:val="22"/>
              </w:rPr>
            </w:pPr>
            <w:r>
              <w:rPr>
                <w:b/>
                <w:sz w:val="22"/>
                <w:szCs w:val="22"/>
              </w:rPr>
              <w:lastRenderedPageBreak/>
              <w:t>Điều 3. Tổ chức thực hiện</w:t>
            </w:r>
          </w:p>
          <w:p w:rsidR="009D44F8" w:rsidRPr="009D44F8" w:rsidRDefault="009D44F8" w:rsidP="00EA370E">
            <w:pPr>
              <w:widowControl w:val="0"/>
              <w:tabs>
                <w:tab w:val="center" w:pos="1843"/>
              </w:tabs>
              <w:spacing w:before="60" w:after="60"/>
              <w:jc w:val="both"/>
              <w:rPr>
                <w:b/>
                <w:sz w:val="22"/>
                <w:szCs w:val="22"/>
              </w:rPr>
            </w:pPr>
            <w:r w:rsidRPr="009D44F8">
              <w:rPr>
                <w:sz w:val="22"/>
                <w:szCs w:val="22"/>
              </w:rPr>
              <w:lastRenderedPageBreak/>
              <w:t>Thủ trưởng các cơ quan, tổ chức, đơn vị căn cứ tiêu chuẩn, định mức xe ô tô chuyên dùng (trừ lĩnh vực y tế) được quy định tại Quyết định này thực hiện quản lý, sử dụng xe ô tô chuyên dùng theo đúng mục đích được xác định cụ thể theo chức năng, nhiệm vụ được giao của các cơ quan, tổ chức, đơn vị theo quy định tại khoản 8 Điều 3 Nghị định số 72/2025/NĐ-CP ngày 26 tháng 9 năm 2023 của Chính phủ quy định tiêu chuẩn, định mức xe ô tô được sửa đổi, bổ sung bởi Nghị định số 153/2025/NĐ-CP ngày 15 tháng 6 năm 2025 của Chính phủ.</w:t>
            </w:r>
          </w:p>
        </w:tc>
        <w:tc>
          <w:tcPr>
            <w:tcW w:w="2726" w:type="dxa"/>
          </w:tcPr>
          <w:p w:rsidR="000916ED" w:rsidRDefault="006734B7" w:rsidP="004D1B89">
            <w:pPr>
              <w:widowControl w:val="0"/>
              <w:tabs>
                <w:tab w:val="center" w:pos="1843"/>
              </w:tabs>
              <w:spacing w:before="60" w:after="60"/>
              <w:jc w:val="both"/>
              <w:rPr>
                <w:i/>
                <w:sz w:val="22"/>
                <w:szCs w:val="22"/>
              </w:rPr>
            </w:pPr>
            <w:r>
              <w:rPr>
                <w:sz w:val="22"/>
                <w:szCs w:val="22"/>
              </w:rPr>
              <w:lastRenderedPageBreak/>
              <w:t xml:space="preserve">Điều chỉnh bỏ nội dung: </w:t>
            </w:r>
            <w:r w:rsidRPr="006734B7">
              <w:rPr>
                <w:i/>
                <w:sz w:val="22"/>
                <w:szCs w:val="22"/>
              </w:rPr>
              <w:lastRenderedPageBreak/>
              <w:t>“Sở Tài chính tổ chức kiểm tra việc mua sắm, quản lý, sử dụng xe ô tô chuyên dùng của các cơ quan, tổ chức, đơn vị trên địa bàn tỉnh, tham mưu Ủy ban nhân dân tỉnh xử lý các trường hợp vi phạm.”</w:t>
            </w:r>
            <w:r>
              <w:rPr>
                <w:i/>
                <w:sz w:val="22"/>
                <w:szCs w:val="22"/>
              </w:rPr>
              <w:t xml:space="preserve"> và nội dung </w:t>
            </w:r>
            <w:r w:rsidRPr="006734B7">
              <w:rPr>
                <w:i/>
                <w:sz w:val="22"/>
                <w:szCs w:val="22"/>
              </w:rPr>
              <w:t>“Kho bạc nhà nước chịu trách nhiệm kiểm soát chi theo quy định pháp luật và theo định mức ban hành tại Quyết định này.”</w:t>
            </w:r>
          </w:p>
          <w:p w:rsidR="006734B7" w:rsidRPr="006734B7" w:rsidRDefault="006734B7" w:rsidP="004D1B89">
            <w:pPr>
              <w:widowControl w:val="0"/>
              <w:tabs>
                <w:tab w:val="center" w:pos="1843"/>
              </w:tabs>
              <w:spacing w:before="60" w:after="60"/>
              <w:jc w:val="both"/>
              <w:rPr>
                <w:sz w:val="22"/>
                <w:szCs w:val="22"/>
              </w:rPr>
            </w:pPr>
            <w:r w:rsidRPr="006734B7">
              <w:rPr>
                <w:sz w:val="22"/>
                <w:szCs w:val="22"/>
              </w:rPr>
              <w:t xml:space="preserve">Lý do: </w:t>
            </w:r>
            <w:r>
              <w:rPr>
                <w:sz w:val="22"/>
                <w:szCs w:val="22"/>
              </w:rPr>
              <w:t>Việc mua sắm, quản lý, sử dụng xe ô tô chuyên dùng thuộc trách nhiệm của Thủ trưởng các cơ quan, đơn vị có tài sản công.</w:t>
            </w:r>
          </w:p>
        </w:tc>
      </w:tr>
      <w:tr w:rsidR="00732D90" w:rsidRPr="00135B8A" w:rsidTr="008848F9">
        <w:tc>
          <w:tcPr>
            <w:tcW w:w="3652" w:type="dxa"/>
          </w:tcPr>
          <w:p w:rsidR="006734B7" w:rsidRDefault="00732D90" w:rsidP="008E019D">
            <w:pPr>
              <w:widowControl w:val="0"/>
              <w:tabs>
                <w:tab w:val="center" w:pos="1843"/>
              </w:tabs>
              <w:spacing w:before="60" w:after="60"/>
              <w:jc w:val="both"/>
              <w:rPr>
                <w:b/>
                <w:sz w:val="22"/>
                <w:szCs w:val="22"/>
              </w:rPr>
            </w:pPr>
            <w:r w:rsidRPr="008E019D">
              <w:rPr>
                <w:b/>
                <w:sz w:val="22"/>
                <w:szCs w:val="22"/>
              </w:rPr>
              <w:lastRenderedPageBreak/>
              <w:t xml:space="preserve">Điều </w:t>
            </w:r>
            <w:r w:rsidR="006734B7">
              <w:rPr>
                <w:b/>
                <w:sz w:val="22"/>
                <w:szCs w:val="22"/>
              </w:rPr>
              <w:t>3</w:t>
            </w:r>
            <w:r w:rsidRPr="008E019D">
              <w:rPr>
                <w:b/>
                <w:sz w:val="22"/>
                <w:szCs w:val="22"/>
              </w:rPr>
              <w:t xml:space="preserve">. </w:t>
            </w:r>
            <w:r w:rsidR="006734B7">
              <w:rPr>
                <w:b/>
                <w:sz w:val="22"/>
                <w:szCs w:val="22"/>
              </w:rPr>
              <w:t>Hiệu lực thi hành</w:t>
            </w:r>
          </w:p>
          <w:p w:rsidR="006734B7" w:rsidRPr="008848F9" w:rsidRDefault="008848F9" w:rsidP="008E019D">
            <w:pPr>
              <w:widowControl w:val="0"/>
              <w:tabs>
                <w:tab w:val="center" w:pos="1843"/>
              </w:tabs>
              <w:spacing w:before="60" w:after="60"/>
              <w:jc w:val="both"/>
              <w:rPr>
                <w:b/>
                <w:sz w:val="22"/>
                <w:szCs w:val="22"/>
              </w:rPr>
            </w:pPr>
            <w:r w:rsidRPr="008848F9">
              <w:rPr>
                <w:sz w:val="22"/>
                <w:szCs w:val="22"/>
              </w:rPr>
              <w:t xml:space="preserve">Quyết định có hiệu lực kể từ ngày </w:t>
            </w:r>
            <w:r w:rsidR="004210CE">
              <w:rPr>
                <w:sz w:val="22"/>
                <w:szCs w:val="22"/>
              </w:rPr>
              <w:t>01</w:t>
            </w:r>
            <w:r w:rsidRPr="008848F9">
              <w:rPr>
                <w:sz w:val="22"/>
                <w:szCs w:val="22"/>
              </w:rPr>
              <w:t xml:space="preserve"> tháng </w:t>
            </w:r>
            <w:r w:rsidR="004210CE">
              <w:rPr>
                <w:sz w:val="22"/>
                <w:szCs w:val="22"/>
              </w:rPr>
              <w:t>02</w:t>
            </w:r>
            <w:r w:rsidRPr="008848F9">
              <w:rPr>
                <w:sz w:val="22"/>
                <w:szCs w:val="22"/>
              </w:rPr>
              <w:t xml:space="preserve"> năm 202</w:t>
            </w:r>
            <w:r w:rsidR="004210CE">
              <w:rPr>
                <w:sz w:val="22"/>
                <w:szCs w:val="22"/>
              </w:rPr>
              <w:t>5</w:t>
            </w:r>
            <w:r w:rsidRPr="008848F9">
              <w:rPr>
                <w:sz w:val="22"/>
                <w:szCs w:val="22"/>
              </w:rPr>
              <w:t xml:space="preserve"> và thay thế Quyết định số 40/2020/QĐ-UBND ngày 17 tháng 9 năm 2020 của UBND tỉnh Đồng Nai quy định tiêu chuẩn, định mức xe ô tô chuyên dùng của cơ quan, tổ chức, đơn vị thuộc phạm vi quản lý của tỉnh Đồng Nai và Quyết định số 44/2022/QĐ-UBND ngày 07 tháng 10 năm 2022 của UBND tỉnh Đồng Nai về việc sửa đổi, bổ sung một số điều của Quyết định số 40/2020/QĐ-</w:t>
            </w:r>
            <w:r w:rsidRPr="008848F9">
              <w:rPr>
                <w:sz w:val="22"/>
                <w:szCs w:val="22"/>
              </w:rPr>
              <w:lastRenderedPageBreak/>
              <w:t>UBND ngày 17 tháng 9 năm 2020 của UBND tỉnh Đồng Nai quy định tiêu chuẩn, định mức xe ô tô chuyên dùng của cơ quan, tổ chức, đơn vị thuộc phạm vi quản lý của tỉnh Đồng Nai.</w:t>
            </w:r>
          </w:p>
          <w:p w:rsidR="008848F9" w:rsidRDefault="006734B7" w:rsidP="008848F9">
            <w:pPr>
              <w:widowControl w:val="0"/>
              <w:tabs>
                <w:tab w:val="center" w:pos="1843"/>
              </w:tabs>
              <w:spacing w:before="60" w:after="60"/>
              <w:jc w:val="both"/>
              <w:rPr>
                <w:b/>
                <w:sz w:val="22"/>
                <w:szCs w:val="22"/>
              </w:rPr>
            </w:pPr>
            <w:r>
              <w:rPr>
                <w:b/>
                <w:sz w:val="22"/>
                <w:szCs w:val="22"/>
              </w:rPr>
              <w:t xml:space="preserve">Điều 4. </w:t>
            </w:r>
            <w:r w:rsidR="00732D90" w:rsidRPr="008E019D">
              <w:rPr>
                <w:b/>
                <w:sz w:val="22"/>
                <w:szCs w:val="22"/>
              </w:rPr>
              <w:t>Tổ chức thực hiện</w:t>
            </w:r>
          </w:p>
          <w:p w:rsidR="008848F9" w:rsidRDefault="008848F9" w:rsidP="008848F9">
            <w:pPr>
              <w:widowControl w:val="0"/>
              <w:tabs>
                <w:tab w:val="center" w:pos="1843"/>
              </w:tabs>
              <w:spacing w:before="60" w:after="60"/>
              <w:jc w:val="both"/>
              <w:rPr>
                <w:sz w:val="22"/>
                <w:szCs w:val="22"/>
              </w:rPr>
            </w:pPr>
            <w:r w:rsidRPr="008848F9">
              <w:rPr>
                <w:sz w:val="22"/>
                <w:szCs w:val="22"/>
              </w:rPr>
              <w:t xml:space="preserve">1. </w:t>
            </w:r>
            <w:r w:rsidRPr="008848F9">
              <w:rPr>
                <w:sz w:val="22"/>
                <w:szCs w:val="22"/>
                <w:lang w:val="vi-VN"/>
              </w:rPr>
              <w:t xml:space="preserve">Chánh Văn phòng Uỷ ban nhân dân tỉnh, Giám đốc Sở Tài chính, </w:t>
            </w:r>
            <w:r w:rsidRPr="008848F9">
              <w:rPr>
                <w:sz w:val="22"/>
                <w:szCs w:val="22"/>
              </w:rPr>
              <w:t>Thủ trưởng các cơ quan, tổ chức, đơn vị</w:t>
            </w:r>
            <w:r w:rsidRPr="008848F9">
              <w:rPr>
                <w:sz w:val="22"/>
                <w:szCs w:val="22"/>
                <w:lang w:val="vi-VN"/>
              </w:rPr>
              <w:t xml:space="preserve"> cấp tỉnh</w:t>
            </w:r>
            <w:r w:rsidRPr="008848F9">
              <w:rPr>
                <w:sz w:val="22"/>
                <w:szCs w:val="22"/>
              </w:rPr>
              <w:t>; Chủ tịch Ủy ban nhân dân các huyện, thành phố Long Khánh và thành phố Biên Hòa</w:t>
            </w:r>
            <w:r w:rsidRPr="008848F9">
              <w:rPr>
                <w:sz w:val="22"/>
                <w:szCs w:val="22"/>
                <w:lang w:val="vi-VN"/>
              </w:rPr>
              <w:t xml:space="preserve"> chịu trách nhiệm thi hành Quyết định này.</w:t>
            </w:r>
          </w:p>
          <w:p w:rsidR="008848F9" w:rsidRPr="008848F9" w:rsidRDefault="008848F9" w:rsidP="008848F9">
            <w:pPr>
              <w:widowControl w:val="0"/>
              <w:tabs>
                <w:tab w:val="center" w:pos="1843"/>
              </w:tabs>
              <w:spacing w:before="60" w:after="60"/>
              <w:jc w:val="both"/>
              <w:rPr>
                <w:b/>
                <w:sz w:val="22"/>
                <w:szCs w:val="22"/>
              </w:rPr>
            </w:pPr>
            <w:r w:rsidRPr="008848F9">
              <w:rPr>
                <w:sz w:val="22"/>
                <w:szCs w:val="22"/>
              </w:rPr>
              <w:t>2. Văn phòng Ủy ban nhân dân tỉnh đăng tải Quyết định này lên Cổng thông tin điện tử của tỉnh</w:t>
            </w:r>
            <w:r w:rsidR="00EB1CBF">
              <w:rPr>
                <w:sz w:val="22"/>
                <w:szCs w:val="22"/>
              </w:rPr>
              <w:t>.</w:t>
            </w:r>
          </w:p>
          <w:p w:rsidR="00732D90" w:rsidRPr="008E019D" w:rsidRDefault="00732D90" w:rsidP="008E019D">
            <w:pPr>
              <w:widowControl w:val="0"/>
              <w:tabs>
                <w:tab w:val="center" w:pos="1843"/>
              </w:tabs>
              <w:spacing w:before="60" w:after="60"/>
              <w:jc w:val="both"/>
              <w:rPr>
                <w:sz w:val="22"/>
                <w:szCs w:val="22"/>
              </w:rPr>
            </w:pPr>
          </w:p>
        </w:tc>
        <w:tc>
          <w:tcPr>
            <w:tcW w:w="4111" w:type="dxa"/>
          </w:tcPr>
          <w:p w:rsidR="00732D90" w:rsidRDefault="006734B7" w:rsidP="008E019D">
            <w:pPr>
              <w:widowControl w:val="0"/>
              <w:tabs>
                <w:tab w:val="center" w:pos="1843"/>
              </w:tabs>
              <w:spacing w:before="60" w:after="60"/>
              <w:jc w:val="both"/>
              <w:rPr>
                <w:b/>
                <w:sz w:val="22"/>
                <w:szCs w:val="22"/>
              </w:rPr>
            </w:pPr>
            <w:r w:rsidRPr="008E019D">
              <w:rPr>
                <w:b/>
                <w:sz w:val="22"/>
                <w:szCs w:val="22"/>
              </w:rPr>
              <w:lastRenderedPageBreak/>
              <w:t xml:space="preserve">Điều 4. </w:t>
            </w:r>
            <w:r w:rsidR="008848F9">
              <w:rPr>
                <w:b/>
                <w:sz w:val="22"/>
                <w:szCs w:val="22"/>
              </w:rPr>
              <w:t>Điều khoản thi hành</w:t>
            </w:r>
          </w:p>
          <w:p w:rsidR="008848F9" w:rsidRDefault="008848F9" w:rsidP="008E019D">
            <w:pPr>
              <w:widowControl w:val="0"/>
              <w:tabs>
                <w:tab w:val="center" w:pos="1843"/>
              </w:tabs>
              <w:spacing w:before="60" w:after="60"/>
              <w:jc w:val="both"/>
              <w:rPr>
                <w:sz w:val="22"/>
                <w:szCs w:val="22"/>
              </w:rPr>
            </w:pPr>
            <w:r w:rsidRPr="008848F9">
              <w:rPr>
                <w:sz w:val="22"/>
                <w:szCs w:val="22"/>
              </w:rPr>
              <w:t xml:space="preserve">1. Các ông (bà): Chánh Văn phòng UBND tỉnh; Giám đốc Sở Tài chính; Thủ trưởng các sở, ban, ngành, Chủ tịch UBND các huyện, thị xã, thành phố và các tổ chức, cá nhân có liên quan chịu trách nhiệm thi hành Quyết định này. </w:t>
            </w:r>
          </w:p>
          <w:p w:rsidR="008848F9" w:rsidRPr="008848F9" w:rsidRDefault="008848F9" w:rsidP="008E019D">
            <w:pPr>
              <w:widowControl w:val="0"/>
              <w:tabs>
                <w:tab w:val="center" w:pos="1843"/>
              </w:tabs>
              <w:spacing w:before="60" w:after="60"/>
              <w:jc w:val="both"/>
              <w:rPr>
                <w:b/>
                <w:sz w:val="22"/>
                <w:szCs w:val="22"/>
              </w:rPr>
            </w:pPr>
            <w:r w:rsidRPr="008848F9">
              <w:rPr>
                <w:sz w:val="22"/>
                <w:szCs w:val="22"/>
              </w:rPr>
              <w:t xml:space="preserve">2. Quyết định này có hiệu lực thi hành từ ngày 15 tháng 09 năm 2024 và thay thế Quyết định số 05/2021/QĐ-UBND ngày 23/3/2021 ban hành tiêu chuẩn, định mức sử dụng xe ô tô chuyên dùng (trừ lĩnh vực y tế) trang bị cho các cơ quan, tổ chức, đơn vị </w:t>
            </w:r>
            <w:r w:rsidRPr="008848F9">
              <w:rPr>
                <w:sz w:val="22"/>
                <w:szCs w:val="22"/>
              </w:rPr>
              <w:lastRenderedPageBreak/>
              <w:t>thuộc phạm vi quản lý trên địa bàn tỉnh Bình Phước, Quyết định số 06/2023/QĐ-UBND ngày 07/02/2023 của UBND tỉnh sửa đổi, bổ sung Phụ lục tiêu chuẩn, định mức sử dụng xe ô tô chuyên dùng (trừ lĩnh vực y tế) trang bị cho các cơ quan, tổ chức, đơn vị thuộc phạm vi quản lý trên địa bàn tỉnh Bình Phước ban hành kèm theo Quyết định số 05/2021/QĐ-UBND ngày 23/3/2021 của UBND tinh.</w:t>
            </w:r>
          </w:p>
        </w:tc>
        <w:tc>
          <w:tcPr>
            <w:tcW w:w="4252" w:type="dxa"/>
          </w:tcPr>
          <w:p w:rsidR="00732D90" w:rsidRPr="008E019D" w:rsidRDefault="00732D90" w:rsidP="008E019D">
            <w:pPr>
              <w:widowControl w:val="0"/>
              <w:tabs>
                <w:tab w:val="center" w:pos="1843"/>
              </w:tabs>
              <w:spacing w:before="60" w:after="60"/>
              <w:jc w:val="both"/>
              <w:rPr>
                <w:b/>
                <w:sz w:val="22"/>
                <w:szCs w:val="22"/>
              </w:rPr>
            </w:pPr>
            <w:r w:rsidRPr="008E019D">
              <w:rPr>
                <w:b/>
                <w:sz w:val="22"/>
                <w:szCs w:val="22"/>
              </w:rPr>
              <w:lastRenderedPageBreak/>
              <w:t>Điều 4. Tổ chức thực hiện</w:t>
            </w:r>
          </w:p>
          <w:p w:rsidR="008848F9" w:rsidRDefault="008848F9" w:rsidP="008848F9">
            <w:pPr>
              <w:tabs>
                <w:tab w:val="left" w:pos="2160"/>
                <w:tab w:val="left" w:pos="3119"/>
              </w:tabs>
              <w:spacing w:after="120"/>
              <w:jc w:val="both"/>
              <w:rPr>
                <w:sz w:val="22"/>
                <w:szCs w:val="22"/>
              </w:rPr>
            </w:pPr>
            <w:r w:rsidRPr="008848F9">
              <w:rPr>
                <w:sz w:val="22"/>
                <w:szCs w:val="22"/>
              </w:rPr>
              <w:t>1. Quyết định này có hiệu lực từ ngày ….. tháng ….. năm 2026.</w:t>
            </w:r>
          </w:p>
          <w:p w:rsidR="008848F9" w:rsidRDefault="008848F9" w:rsidP="008848F9">
            <w:pPr>
              <w:tabs>
                <w:tab w:val="left" w:pos="2160"/>
                <w:tab w:val="left" w:pos="3119"/>
              </w:tabs>
              <w:spacing w:after="120"/>
              <w:jc w:val="both"/>
              <w:rPr>
                <w:sz w:val="22"/>
                <w:szCs w:val="22"/>
              </w:rPr>
            </w:pPr>
            <w:r w:rsidRPr="008848F9">
              <w:rPr>
                <w:sz w:val="22"/>
                <w:szCs w:val="22"/>
              </w:rPr>
              <w:t>2. Các Quyết định hết hiệu lực kể từ ngày Quyết định này có hiệu lực:</w:t>
            </w:r>
          </w:p>
          <w:p w:rsidR="008848F9" w:rsidRDefault="008848F9" w:rsidP="008848F9">
            <w:pPr>
              <w:tabs>
                <w:tab w:val="left" w:pos="2160"/>
                <w:tab w:val="left" w:pos="3119"/>
              </w:tabs>
              <w:spacing w:after="120"/>
              <w:jc w:val="both"/>
              <w:rPr>
                <w:sz w:val="22"/>
                <w:szCs w:val="22"/>
              </w:rPr>
            </w:pPr>
            <w:r w:rsidRPr="008848F9">
              <w:rPr>
                <w:sz w:val="22"/>
                <w:szCs w:val="22"/>
              </w:rPr>
              <w:t>a)</w:t>
            </w:r>
            <w:r w:rsidRPr="008848F9">
              <w:rPr>
                <w:color w:val="000000"/>
                <w:sz w:val="22"/>
                <w:szCs w:val="22"/>
                <w:shd w:val="clear" w:color="auto" w:fill="FFFFFF"/>
              </w:rPr>
              <w:t xml:space="preserve"> Quyết định số 03/2025/QĐ-UBND ngày 09 tháng 01  năm 2025 của Ủy ban nhân dân tỉnh Đồng Nai</w:t>
            </w:r>
            <w:r w:rsidRPr="008848F9">
              <w:rPr>
                <w:sz w:val="22"/>
                <w:szCs w:val="22"/>
              </w:rPr>
              <w:t xml:space="preserve"> quy định tiêu chuẩn, định mức sử dụng xe ô tô chuyên dùng của các cơ quan, tổ chức, đơn vị thuộc phạm vi quản lý trên địa bàn tỉnh Đồng Nai.</w:t>
            </w:r>
          </w:p>
          <w:p w:rsidR="008848F9" w:rsidRDefault="008848F9" w:rsidP="008848F9">
            <w:pPr>
              <w:tabs>
                <w:tab w:val="left" w:pos="2160"/>
                <w:tab w:val="left" w:pos="3119"/>
              </w:tabs>
              <w:spacing w:after="120"/>
              <w:jc w:val="both"/>
              <w:rPr>
                <w:sz w:val="22"/>
                <w:szCs w:val="22"/>
              </w:rPr>
            </w:pPr>
            <w:r w:rsidRPr="008848F9">
              <w:rPr>
                <w:sz w:val="22"/>
                <w:szCs w:val="22"/>
              </w:rPr>
              <w:t>b)</w:t>
            </w:r>
            <w:r w:rsidRPr="008848F9">
              <w:rPr>
                <w:color w:val="000000"/>
                <w:sz w:val="22"/>
                <w:szCs w:val="22"/>
                <w:shd w:val="clear" w:color="auto" w:fill="FFFFFF"/>
              </w:rPr>
              <w:t xml:space="preserve"> Quyết định số 26/2024/QĐ-UBND ngày </w:t>
            </w:r>
            <w:r w:rsidRPr="008848F9">
              <w:rPr>
                <w:color w:val="000000"/>
                <w:sz w:val="22"/>
                <w:szCs w:val="22"/>
                <w:shd w:val="clear" w:color="auto" w:fill="FFFFFF"/>
              </w:rPr>
              <w:lastRenderedPageBreak/>
              <w:t>05 tháng 9 năm 2024 của Ủy ban nhân dân tỉnh Bình Phước</w:t>
            </w:r>
            <w:r w:rsidRPr="008848F9">
              <w:rPr>
                <w:sz w:val="22"/>
                <w:szCs w:val="22"/>
              </w:rPr>
              <w:t xml:space="preserve"> quy định tiêu chuẩn, định mức sử dụng xe ô tô chuyên dùng (trừ lĩnh vực y tế) tại các cơ quan, tổ chức, đơn vị thuộc phạm vi quản lý của tỉnh Bình Phước.</w:t>
            </w:r>
          </w:p>
          <w:p w:rsidR="00732D90" w:rsidRPr="00135B8A" w:rsidRDefault="008848F9" w:rsidP="008848F9">
            <w:pPr>
              <w:tabs>
                <w:tab w:val="left" w:pos="2160"/>
                <w:tab w:val="left" w:pos="3119"/>
              </w:tabs>
              <w:spacing w:after="120"/>
              <w:jc w:val="both"/>
              <w:rPr>
                <w:sz w:val="22"/>
                <w:szCs w:val="22"/>
              </w:rPr>
            </w:pPr>
            <w:r w:rsidRPr="008848F9">
              <w:rPr>
                <w:sz w:val="22"/>
                <w:szCs w:val="22"/>
              </w:rPr>
              <w:t>3. Chánh Văn phòng Ủy ban nhân dân tỉnh; Giám đốc Sở Tài chính; Thủ trưởng các cơ quan, đơn vị cấp tỉnh; Chủ tịch Ủy ban nhân dân các xã, phường; Thủ trưởng các cơ quan, đơn vị và các tổ chức, cá nhân liên quan chịu trách nhiệm thi hành Quyết định này</w:t>
            </w:r>
            <w:r>
              <w:rPr>
                <w:sz w:val="22"/>
                <w:szCs w:val="22"/>
              </w:rPr>
              <w:t>.</w:t>
            </w:r>
          </w:p>
        </w:tc>
        <w:tc>
          <w:tcPr>
            <w:tcW w:w="2726" w:type="dxa"/>
          </w:tcPr>
          <w:p w:rsidR="00732D90" w:rsidRDefault="008848F9" w:rsidP="004D1B89">
            <w:pPr>
              <w:widowControl w:val="0"/>
              <w:tabs>
                <w:tab w:val="center" w:pos="1843"/>
              </w:tabs>
              <w:spacing w:before="60" w:after="60"/>
              <w:jc w:val="both"/>
              <w:rPr>
                <w:sz w:val="22"/>
                <w:szCs w:val="22"/>
              </w:rPr>
            </w:pPr>
            <w:r>
              <w:rPr>
                <w:sz w:val="22"/>
                <w:szCs w:val="22"/>
              </w:rPr>
              <w:lastRenderedPageBreak/>
              <w:t xml:space="preserve">Điều chỉnh nội dung các quyết định hết hiệu lực thi hành, bao gồm: </w:t>
            </w:r>
          </w:p>
          <w:p w:rsidR="008848F9" w:rsidRDefault="008848F9" w:rsidP="004D1B89">
            <w:pPr>
              <w:widowControl w:val="0"/>
              <w:tabs>
                <w:tab w:val="center" w:pos="1843"/>
              </w:tabs>
              <w:spacing w:before="60" w:after="60"/>
              <w:jc w:val="both"/>
              <w:rPr>
                <w:color w:val="000000"/>
                <w:sz w:val="22"/>
                <w:szCs w:val="22"/>
                <w:shd w:val="clear" w:color="auto" w:fill="FFFFFF"/>
              </w:rPr>
            </w:pPr>
            <w:r>
              <w:rPr>
                <w:color w:val="000000"/>
                <w:sz w:val="22"/>
                <w:szCs w:val="22"/>
                <w:shd w:val="clear" w:color="auto" w:fill="FFFFFF"/>
              </w:rPr>
              <w:t xml:space="preserve">- </w:t>
            </w:r>
            <w:r w:rsidRPr="008848F9">
              <w:rPr>
                <w:color w:val="000000"/>
                <w:sz w:val="22"/>
                <w:szCs w:val="22"/>
                <w:shd w:val="clear" w:color="auto" w:fill="FFFFFF"/>
              </w:rPr>
              <w:t>Quyết định số 03/2025/QĐ-UBND ngày 09 tháng 01  năm 2025 của Ủy ban nhân dân tỉnh Đồng Nai</w:t>
            </w:r>
            <w:r>
              <w:rPr>
                <w:color w:val="000000"/>
                <w:sz w:val="22"/>
                <w:szCs w:val="22"/>
                <w:shd w:val="clear" w:color="auto" w:fill="FFFFFF"/>
              </w:rPr>
              <w:t>.</w:t>
            </w:r>
          </w:p>
          <w:p w:rsidR="008848F9" w:rsidRDefault="008848F9" w:rsidP="004D1B89">
            <w:pPr>
              <w:widowControl w:val="0"/>
              <w:tabs>
                <w:tab w:val="center" w:pos="1843"/>
              </w:tabs>
              <w:spacing w:before="60" w:after="60"/>
              <w:jc w:val="both"/>
              <w:rPr>
                <w:color w:val="000000"/>
                <w:sz w:val="22"/>
                <w:szCs w:val="22"/>
                <w:shd w:val="clear" w:color="auto" w:fill="FFFFFF"/>
              </w:rPr>
            </w:pPr>
            <w:r>
              <w:rPr>
                <w:color w:val="000000"/>
                <w:sz w:val="22"/>
                <w:szCs w:val="22"/>
                <w:shd w:val="clear" w:color="auto" w:fill="FFFFFF"/>
              </w:rPr>
              <w:t xml:space="preserve">- </w:t>
            </w:r>
            <w:r w:rsidRPr="008848F9">
              <w:rPr>
                <w:color w:val="000000"/>
                <w:sz w:val="22"/>
                <w:szCs w:val="22"/>
                <w:shd w:val="clear" w:color="auto" w:fill="FFFFFF"/>
              </w:rPr>
              <w:t>Quyết định số 26/2024/QĐ-UBND ngày 05 tháng 9 năm 2024 của Ủy ban nhân dân tỉnh Bình Phước</w:t>
            </w:r>
          </w:p>
          <w:p w:rsidR="008848F9" w:rsidRPr="00135B8A" w:rsidRDefault="008848F9" w:rsidP="004D1B89">
            <w:pPr>
              <w:widowControl w:val="0"/>
              <w:tabs>
                <w:tab w:val="center" w:pos="1843"/>
              </w:tabs>
              <w:spacing w:before="60" w:after="60"/>
              <w:jc w:val="both"/>
              <w:rPr>
                <w:sz w:val="22"/>
                <w:szCs w:val="22"/>
              </w:rPr>
            </w:pPr>
          </w:p>
        </w:tc>
      </w:tr>
    </w:tbl>
    <w:p w:rsidR="002B1C3C" w:rsidRPr="002B1C3C" w:rsidRDefault="002B1C3C" w:rsidP="008848F9">
      <w:pPr>
        <w:spacing w:before="240" w:after="240"/>
        <w:jc w:val="both"/>
        <w:rPr>
          <w:b/>
        </w:rPr>
      </w:pPr>
      <w:bookmarkStart w:id="0" w:name="_GoBack"/>
      <w:bookmarkEnd w:id="0"/>
    </w:p>
    <w:sectPr w:rsidR="002B1C3C" w:rsidRPr="002B1C3C" w:rsidSect="008848F9">
      <w:headerReference w:type="default" r:id="rId9"/>
      <w:footerReference w:type="even" r:id="rId10"/>
      <w:footerReference w:type="default" r:id="rId11"/>
      <w:pgSz w:w="16840" w:h="11907" w:orient="landscape" w:code="9"/>
      <w:pgMar w:top="1134" w:right="1134" w:bottom="851" w:left="1134" w:header="720"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175" w:rsidRDefault="00604175">
      <w:r>
        <w:separator/>
      </w:r>
    </w:p>
  </w:endnote>
  <w:endnote w:type="continuationSeparator" w:id="0">
    <w:p w:rsidR="00604175" w:rsidRDefault="0060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ED" w:rsidRDefault="000916ED"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16ED" w:rsidRDefault="000916ED" w:rsidP="00C96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ED" w:rsidRDefault="000916ED" w:rsidP="00EA79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175" w:rsidRDefault="00604175">
      <w:r>
        <w:separator/>
      </w:r>
    </w:p>
  </w:footnote>
  <w:footnote w:type="continuationSeparator" w:id="0">
    <w:p w:rsidR="00604175" w:rsidRDefault="00604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ED" w:rsidRDefault="000916ED">
    <w:pPr>
      <w:pStyle w:val="Header"/>
      <w:jc w:val="center"/>
    </w:pPr>
    <w:r>
      <w:fldChar w:fldCharType="begin"/>
    </w:r>
    <w:r>
      <w:instrText xml:space="preserve"> PAGE   \* MERGEFORMAT </w:instrText>
    </w:r>
    <w:r>
      <w:fldChar w:fldCharType="separate"/>
    </w:r>
    <w:r w:rsidR="00EB1CBF">
      <w:rPr>
        <w:noProof/>
      </w:rPr>
      <w:t>3</w:t>
    </w:r>
    <w:r>
      <w:rPr>
        <w:noProof/>
      </w:rPr>
      <w:fldChar w:fldCharType="end"/>
    </w:r>
  </w:p>
  <w:p w:rsidR="000916ED" w:rsidRDefault="000916ED" w:rsidP="006841B9">
    <w:pPr>
      <w:pStyle w:val="Header"/>
      <w:tabs>
        <w:tab w:val="clear" w:pos="4320"/>
        <w:tab w:val="clear" w:pos="8640"/>
        <w:tab w:val="left" w:pos="19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405FF8"/>
    <w:multiLevelType w:val="hybridMultilevel"/>
    <w:tmpl w:val="8D9C32FE"/>
    <w:lvl w:ilvl="0" w:tplc="B93EFD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1">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0"/>
  </w:num>
  <w:num w:numId="3">
    <w:abstractNumId w:val="7"/>
  </w:num>
  <w:num w:numId="4">
    <w:abstractNumId w:val="5"/>
  </w:num>
  <w:num w:numId="5">
    <w:abstractNumId w:val="8"/>
  </w:num>
  <w:num w:numId="6">
    <w:abstractNumId w:val="2"/>
  </w:num>
  <w:num w:numId="7">
    <w:abstractNumId w:val="11"/>
  </w:num>
  <w:num w:numId="8">
    <w:abstractNumId w:val="4"/>
  </w:num>
  <w:num w:numId="9">
    <w:abstractNumId w:val="1"/>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1B71"/>
    <w:rsid w:val="00017D9D"/>
    <w:rsid w:val="0002012E"/>
    <w:rsid w:val="000204AE"/>
    <w:rsid w:val="00020E0F"/>
    <w:rsid w:val="000210DF"/>
    <w:rsid w:val="0002156E"/>
    <w:rsid w:val="000218F2"/>
    <w:rsid w:val="0002368B"/>
    <w:rsid w:val="00026BA9"/>
    <w:rsid w:val="0002739E"/>
    <w:rsid w:val="0003127B"/>
    <w:rsid w:val="00032260"/>
    <w:rsid w:val="00032B64"/>
    <w:rsid w:val="00034275"/>
    <w:rsid w:val="0003610F"/>
    <w:rsid w:val="0003640E"/>
    <w:rsid w:val="00037460"/>
    <w:rsid w:val="00037BB0"/>
    <w:rsid w:val="00047D1B"/>
    <w:rsid w:val="00047F26"/>
    <w:rsid w:val="00052650"/>
    <w:rsid w:val="000544CF"/>
    <w:rsid w:val="00056A91"/>
    <w:rsid w:val="00057F81"/>
    <w:rsid w:val="00060632"/>
    <w:rsid w:val="0006284C"/>
    <w:rsid w:val="00064831"/>
    <w:rsid w:val="000650C9"/>
    <w:rsid w:val="0006754B"/>
    <w:rsid w:val="00067ACA"/>
    <w:rsid w:val="00067B6F"/>
    <w:rsid w:val="00071E89"/>
    <w:rsid w:val="000749CB"/>
    <w:rsid w:val="00082FF4"/>
    <w:rsid w:val="000916ED"/>
    <w:rsid w:val="0009302D"/>
    <w:rsid w:val="00093512"/>
    <w:rsid w:val="00095C02"/>
    <w:rsid w:val="000A5F75"/>
    <w:rsid w:val="000A7EF6"/>
    <w:rsid w:val="000B214D"/>
    <w:rsid w:val="000B3EDC"/>
    <w:rsid w:val="000C1880"/>
    <w:rsid w:val="000C2EFA"/>
    <w:rsid w:val="000C587C"/>
    <w:rsid w:val="000C5EB1"/>
    <w:rsid w:val="000C6548"/>
    <w:rsid w:val="000C6E01"/>
    <w:rsid w:val="000C7D15"/>
    <w:rsid w:val="000D201E"/>
    <w:rsid w:val="000D321E"/>
    <w:rsid w:val="000D5829"/>
    <w:rsid w:val="000D60BD"/>
    <w:rsid w:val="000D72EC"/>
    <w:rsid w:val="000E006A"/>
    <w:rsid w:val="000E0D6D"/>
    <w:rsid w:val="000E1DA0"/>
    <w:rsid w:val="000E2B25"/>
    <w:rsid w:val="000E2FC2"/>
    <w:rsid w:val="000E3945"/>
    <w:rsid w:val="000E466B"/>
    <w:rsid w:val="000E5B57"/>
    <w:rsid w:val="000E6C26"/>
    <w:rsid w:val="000F36A2"/>
    <w:rsid w:val="000F599A"/>
    <w:rsid w:val="000F61B9"/>
    <w:rsid w:val="000F7053"/>
    <w:rsid w:val="001000B0"/>
    <w:rsid w:val="0010214E"/>
    <w:rsid w:val="0010233C"/>
    <w:rsid w:val="001027EF"/>
    <w:rsid w:val="00105E92"/>
    <w:rsid w:val="00106076"/>
    <w:rsid w:val="0010626B"/>
    <w:rsid w:val="00107FAC"/>
    <w:rsid w:val="001114FB"/>
    <w:rsid w:val="001123A8"/>
    <w:rsid w:val="0011266A"/>
    <w:rsid w:val="00113596"/>
    <w:rsid w:val="0011717D"/>
    <w:rsid w:val="00117F16"/>
    <w:rsid w:val="0012146F"/>
    <w:rsid w:val="00124695"/>
    <w:rsid w:val="00124ABC"/>
    <w:rsid w:val="0012619B"/>
    <w:rsid w:val="001265DB"/>
    <w:rsid w:val="001312A6"/>
    <w:rsid w:val="00135B8A"/>
    <w:rsid w:val="00136A16"/>
    <w:rsid w:val="00136FC8"/>
    <w:rsid w:val="001411E5"/>
    <w:rsid w:val="00141DC9"/>
    <w:rsid w:val="00142EAD"/>
    <w:rsid w:val="00144E2A"/>
    <w:rsid w:val="00145741"/>
    <w:rsid w:val="00146333"/>
    <w:rsid w:val="001463D9"/>
    <w:rsid w:val="00146714"/>
    <w:rsid w:val="00151B0A"/>
    <w:rsid w:val="00151CCA"/>
    <w:rsid w:val="001532F7"/>
    <w:rsid w:val="00157E25"/>
    <w:rsid w:val="001612D8"/>
    <w:rsid w:val="00161510"/>
    <w:rsid w:val="001619F3"/>
    <w:rsid w:val="00161F55"/>
    <w:rsid w:val="00162704"/>
    <w:rsid w:val="00163742"/>
    <w:rsid w:val="0016447B"/>
    <w:rsid w:val="00167C4B"/>
    <w:rsid w:val="00172416"/>
    <w:rsid w:val="001728CE"/>
    <w:rsid w:val="00173A8C"/>
    <w:rsid w:val="00174719"/>
    <w:rsid w:val="00176220"/>
    <w:rsid w:val="00181F8F"/>
    <w:rsid w:val="00183B96"/>
    <w:rsid w:val="00183FD8"/>
    <w:rsid w:val="00184D77"/>
    <w:rsid w:val="001853A5"/>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06CD"/>
    <w:rsid w:val="001D28F5"/>
    <w:rsid w:val="001D35E1"/>
    <w:rsid w:val="001E2B9F"/>
    <w:rsid w:val="001E7CF5"/>
    <w:rsid w:val="001F38C4"/>
    <w:rsid w:val="001F543A"/>
    <w:rsid w:val="001F64E4"/>
    <w:rsid w:val="00205B4F"/>
    <w:rsid w:val="00207709"/>
    <w:rsid w:val="00211A0F"/>
    <w:rsid w:val="00212A3F"/>
    <w:rsid w:val="00212E7D"/>
    <w:rsid w:val="0021361B"/>
    <w:rsid w:val="00221524"/>
    <w:rsid w:val="002228D9"/>
    <w:rsid w:val="00223100"/>
    <w:rsid w:val="00223A39"/>
    <w:rsid w:val="00223F35"/>
    <w:rsid w:val="00224765"/>
    <w:rsid w:val="00224928"/>
    <w:rsid w:val="00225350"/>
    <w:rsid w:val="00226C0C"/>
    <w:rsid w:val="00227C87"/>
    <w:rsid w:val="00227D5E"/>
    <w:rsid w:val="00227F4F"/>
    <w:rsid w:val="002303E4"/>
    <w:rsid w:val="00230A24"/>
    <w:rsid w:val="00230D4A"/>
    <w:rsid w:val="00232CA5"/>
    <w:rsid w:val="002370D6"/>
    <w:rsid w:val="002440BE"/>
    <w:rsid w:val="002441EF"/>
    <w:rsid w:val="00244B2D"/>
    <w:rsid w:val="0024535F"/>
    <w:rsid w:val="0024635F"/>
    <w:rsid w:val="00246A36"/>
    <w:rsid w:val="00247C97"/>
    <w:rsid w:val="0025030E"/>
    <w:rsid w:val="00253B5F"/>
    <w:rsid w:val="00260124"/>
    <w:rsid w:val="002612D4"/>
    <w:rsid w:val="002632B3"/>
    <w:rsid w:val="00266500"/>
    <w:rsid w:val="00266BD7"/>
    <w:rsid w:val="00270A0E"/>
    <w:rsid w:val="00270F8E"/>
    <w:rsid w:val="00275031"/>
    <w:rsid w:val="002750EE"/>
    <w:rsid w:val="00276329"/>
    <w:rsid w:val="002771E3"/>
    <w:rsid w:val="00277BA0"/>
    <w:rsid w:val="002825D2"/>
    <w:rsid w:val="00286B34"/>
    <w:rsid w:val="00286C28"/>
    <w:rsid w:val="00293954"/>
    <w:rsid w:val="0029609E"/>
    <w:rsid w:val="002A562E"/>
    <w:rsid w:val="002B1632"/>
    <w:rsid w:val="002B1C3C"/>
    <w:rsid w:val="002B1EAC"/>
    <w:rsid w:val="002B5848"/>
    <w:rsid w:val="002B5BF8"/>
    <w:rsid w:val="002C18ED"/>
    <w:rsid w:val="002C1C17"/>
    <w:rsid w:val="002C2653"/>
    <w:rsid w:val="002D14A4"/>
    <w:rsid w:val="002D275E"/>
    <w:rsid w:val="002D30E9"/>
    <w:rsid w:val="002D427C"/>
    <w:rsid w:val="002D740A"/>
    <w:rsid w:val="002E277F"/>
    <w:rsid w:val="002E40E7"/>
    <w:rsid w:val="002E53EB"/>
    <w:rsid w:val="002E74EC"/>
    <w:rsid w:val="002F045B"/>
    <w:rsid w:val="002F493C"/>
    <w:rsid w:val="002F691E"/>
    <w:rsid w:val="003011A4"/>
    <w:rsid w:val="00304D7B"/>
    <w:rsid w:val="00305EA6"/>
    <w:rsid w:val="00307DA2"/>
    <w:rsid w:val="003125FD"/>
    <w:rsid w:val="003133C4"/>
    <w:rsid w:val="00314253"/>
    <w:rsid w:val="00314B76"/>
    <w:rsid w:val="00315C3F"/>
    <w:rsid w:val="00316372"/>
    <w:rsid w:val="00316CFB"/>
    <w:rsid w:val="00322D37"/>
    <w:rsid w:val="003242C7"/>
    <w:rsid w:val="003249BA"/>
    <w:rsid w:val="00325EA0"/>
    <w:rsid w:val="003269F0"/>
    <w:rsid w:val="003278EF"/>
    <w:rsid w:val="00327B54"/>
    <w:rsid w:val="003356F4"/>
    <w:rsid w:val="003410BF"/>
    <w:rsid w:val="003426AB"/>
    <w:rsid w:val="0034294F"/>
    <w:rsid w:val="00342D02"/>
    <w:rsid w:val="00344139"/>
    <w:rsid w:val="00344CEF"/>
    <w:rsid w:val="00346009"/>
    <w:rsid w:val="00352E44"/>
    <w:rsid w:val="00353A65"/>
    <w:rsid w:val="003571D9"/>
    <w:rsid w:val="003607E0"/>
    <w:rsid w:val="00360F2E"/>
    <w:rsid w:val="00361BF8"/>
    <w:rsid w:val="00364570"/>
    <w:rsid w:val="0037016B"/>
    <w:rsid w:val="00372B17"/>
    <w:rsid w:val="003741FE"/>
    <w:rsid w:val="00375920"/>
    <w:rsid w:val="00380AB0"/>
    <w:rsid w:val="003814F0"/>
    <w:rsid w:val="003834BE"/>
    <w:rsid w:val="00383C07"/>
    <w:rsid w:val="00383E09"/>
    <w:rsid w:val="00385E9A"/>
    <w:rsid w:val="003860C7"/>
    <w:rsid w:val="00386EA3"/>
    <w:rsid w:val="00387BDD"/>
    <w:rsid w:val="00390F2B"/>
    <w:rsid w:val="003910F1"/>
    <w:rsid w:val="00392258"/>
    <w:rsid w:val="00395BD5"/>
    <w:rsid w:val="003975DB"/>
    <w:rsid w:val="003A0BB6"/>
    <w:rsid w:val="003A157D"/>
    <w:rsid w:val="003A18F3"/>
    <w:rsid w:val="003A3273"/>
    <w:rsid w:val="003A3390"/>
    <w:rsid w:val="003A43BB"/>
    <w:rsid w:val="003B214A"/>
    <w:rsid w:val="003B4C0A"/>
    <w:rsid w:val="003C3F04"/>
    <w:rsid w:val="003C41CF"/>
    <w:rsid w:val="003C4664"/>
    <w:rsid w:val="003C5788"/>
    <w:rsid w:val="003C61A5"/>
    <w:rsid w:val="003C7BE2"/>
    <w:rsid w:val="003D2BD5"/>
    <w:rsid w:val="003D3926"/>
    <w:rsid w:val="003D42F5"/>
    <w:rsid w:val="003D456D"/>
    <w:rsid w:val="003D4E1C"/>
    <w:rsid w:val="003D60DD"/>
    <w:rsid w:val="003D7EF8"/>
    <w:rsid w:val="003E1172"/>
    <w:rsid w:val="003E58B0"/>
    <w:rsid w:val="003F096C"/>
    <w:rsid w:val="003F16CD"/>
    <w:rsid w:val="003F3DFF"/>
    <w:rsid w:val="003F4CFC"/>
    <w:rsid w:val="003F5FDD"/>
    <w:rsid w:val="003F677D"/>
    <w:rsid w:val="004039BF"/>
    <w:rsid w:val="00404BDE"/>
    <w:rsid w:val="004052F3"/>
    <w:rsid w:val="0040598E"/>
    <w:rsid w:val="00407ADF"/>
    <w:rsid w:val="00411B8A"/>
    <w:rsid w:val="00413830"/>
    <w:rsid w:val="00413A01"/>
    <w:rsid w:val="00417221"/>
    <w:rsid w:val="00420B87"/>
    <w:rsid w:val="004210CE"/>
    <w:rsid w:val="00422492"/>
    <w:rsid w:val="00424972"/>
    <w:rsid w:val="0042752E"/>
    <w:rsid w:val="00441293"/>
    <w:rsid w:val="004438F0"/>
    <w:rsid w:val="00443957"/>
    <w:rsid w:val="00443E27"/>
    <w:rsid w:val="00447385"/>
    <w:rsid w:val="00450CDC"/>
    <w:rsid w:val="00450DCD"/>
    <w:rsid w:val="00453214"/>
    <w:rsid w:val="00453E79"/>
    <w:rsid w:val="004559D9"/>
    <w:rsid w:val="004603A4"/>
    <w:rsid w:val="004614CC"/>
    <w:rsid w:val="0046229D"/>
    <w:rsid w:val="0046244E"/>
    <w:rsid w:val="0046533E"/>
    <w:rsid w:val="00470008"/>
    <w:rsid w:val="00471C45"/>
    <w:rsid w:val="004735B3"/>
    <w:rsid w:val="0047394A"/>
    <w:rsid w:val="00475906"/>
    <w:rsid w:val="00475A53"/>
    <w:rsid w:val="00476BD8"/>
    <w:rsid w:val="00476FF6"/>
    <w:rsid w:val="00480FF8"/>
    <w:rsid w:val="004817A8"/>
    <w:rsid w:val="00482C0E"/>
    <w:rsid w:val="00490C43"/>
    <w:rsid w:val="00491059"/>
    <w:rsid w:val="004959E0"/>
    <w:rsid w:val="00497A63"/>
    <w:rsid w:val="00497E23"/>
    <w:rsid w:val="004A34BD"/>
    <w:rsid w:val="004A5976"/>
    <w:rsid w:val="004C0F15"/>
    <w:rsid w:val="004C0FD9"/>
    <w:rsid w:val="004C18E5"/>
    <w:rsid w:val="004C263C"/>
    <w:rsid w:val="004C2E4C"/>
    <w:rsid w:val="004C5F96"/>
    <w:rsid w:val="004D0583"/>
    <w:rsid w:val="004D1B89"/>
    <w:rsid w:val="004D391A"/>
    <w:rsid w:val="004D3ECD"/>
    <w:rsid w:val="004D4765"/>
    <w:rsid w:val="004D66D8"/>
    <w:rsid w:val="004E2379"/>
    <w:rsid w:val="004E5F97"/>
    <w:rsid w:val="004E6948"/>
    <w:rsid w:val="004F5470"/>
    <w:rsid w:val="004F54EB"/>
    <w:rsid w:val="004F5A9A"/>
    <w:rsid w:val="005033E4"/>
    <w:rsid w:val="0050562C"/>
    <w:rsid w:val="005057FB"/>
    <w:rsid w:val="00514BCD"/>
    <w:rsid w:val="005166BE"/>
    <w:rsid w:val="00516906"/>
    <w:rsid w:val="00524930"/>
    <w:rsid w:val="005272D8"/>
    <w:rsid w:val="00527750"/>
    <w:rsid w:val="00534F1A"/>
    <w:rsid w:val="00535012"/>
    <w:rsid w:val="00535B32"/>
    <w:rsid w:val="005378A8"/>
    <w:rsid w:val="00540FEA"/>
    <w:rsid w:val="00542A7D"/>
    <w:rsid w:val="00543AD1"/>
    <w:rsid w:val="00543C28"/>
    <w:rsid w:val="00545F8B"/>
    <w:rsid w:val="00546207"/>
    <w:rsid w:val="00551A90"/>
    <w:rsid w:val="00551B6C"/>
    <w:rsid w:val="00552D5B"/>
    <w:rsid w:val="00554FDF"/>
    <w:rsid w:val="005570B8"/>
    <w:rsid w:val="00560DD8"/>
    <w:rsid w:val="00560E8B"/>
    <w:rsid w:val="00561622"/>
    <w:rsid w:val="00562E7B"/>
    <w:rsid w:val="00564C17"/>
    <w:rsid w:val="005653A6"/>
    <w:rsid w:val="00570F9F"/>
    <w:rsid w:val="00572FED"/>
    <w:rsid w:val="00575826"/>
    <w:rsid w:val="0057651E"/>
    <w:rsid w:val="00580259"/>
    <w:rsid w:val="00585550"/>
    <w:rsid w:val="005859B1"/>
    <w:rsid w:val="005865B2"/>
    <w:rsid w:val="005867E7"/>
    <w:rsid w:val="005876E8"/>
    <w:rsid w:val="00591484"/>
    <w:rsid w:val="00591806"/>
    <w:rsid w:val="0059433B"/>
    <w:rsid w:val="00595164"/>
    <w:rsid w:val="005966CB"/>
    <w:rsid w:val="0059672A"/>
    <w:rsid w:val="00597131"/>
    <w:rsid w:val="005A2EE4"/>
    <w:rsid w:val="005A729A"/>
    <w:rsid w:val="005A786C"/>
    <w:rsid w:val="005B0504"/>
    <w:rsid w:val="005B178C"/>
    <w:rsid w:val="005B442F"/>
    <w:rsid w:val="005B5E37"/>
    <w:rsid w:val="005B7482"/>
    <w:rsid w:val="005B7DA7"/>
    <w:rsid w:val="005C0F6B"/>
    <w:rsid w:val="005C0FB2"/>
    <w:rsid w:val="005D085D"/>
    <w:rsid w:val="005D12FA"/>
    <w:rsid w:val="005D14FB"/>
    <w:rsid w:val="005D29BE"/>
    <w:rsid w:val="005D333A"/>
    <w:rsid w:val="005D3E01"/>
    <w:rsid w:val="005D42F6"/>
    <w:rsid w:val="005D59CA"/>
    <w:rsid w:val="005E2246"/>
    <w:rsid w:val="005E3CCE"/>
    <w:rsid w:val="005E7EDD"/>
    <w:rsid w:val="005F0094"/>
    <w:rsid w:val="005F0766"/>
    <w:rsid w:val="005F0782"/>
    <w:rsid w:val="005F3EFD"/>
    <w:rsid w:val="005F431B"/>
    <w:rsid w:val="005F4662"/>
    <w:rsid w:val="005F59E9"/>
    <w:rsid w:val="005F5CBE"/>
    <w:rsid w:val="005F5D32"/>
    <w:rsid w:val="005F7297"/>
    <w:rsid w:val="006018CF"/>
    <w:rsid w:val="00603192"/>
    <w:rsid w:val="0060347E"/>
    <w:rsid w:val="00604175"/>
    <w:rsid w:val="006048F0"/>
    <w:rsid w:val="0060517B"/>
    <w:rsid w:val="00605355"/>
    <w:rsid w:val="006057C8"/>
    <w:rsid w:val="00605D76"/>
    <w:rsid w:val="00606756"/>
    <w:rsid w:val="00607A07"/>
    <w:rsid w:val="006142A7"/>
    <w:rsid w:val="006148E1"/>
    <w:rsid w:val="00620497"/>
    <w:rsid w:val="006218DC"/>
    <w:rsid w:val="00621E21"/>
    <w:rsid w:val="006229D7"/>
    <w:rsid w:val="00625FA2"/>
    <w:rsid w:val="00626699"/>
    <w:rsid w:val="006329D8"/>
    <w:rsid w:val="00632B49"/>
    <w:rsid w:val="0063437B"/>
    <w:rsid w:val="006355E4"/>
    <w:rsid w:val="0063579E"/>
    <w:rsid w:val="0063657B"/>
    <w:rsid w:val="00637C2E"/>
    <w:rsid w:val="00646533"/>
    <w:rsid w:val="00650320"/>
    <w:rsid w:val="00651925"/>
    <w:rsid w:val="006529D1"/>
    <w:rsid w:val="006539F3"/>
    <w:rsid w:val="00653A11"/>
    <w:rsid w:val="00653A34"/>
    <w:rsid w:val="00653EB9"/>
    <w:rsid w:val="00654918"/>
    <w:rsid w:val="00661CF8"/>
    <w:rsid w:val="006620EF"/>
    <w:rsid w:val="006668C3"/>
    <w:rsid w:val="00666E8D"/>
    <w:rsid w:val="00672D0A"/>
    <w:rsid w:val="00672D8A"/>
    <w:rsid w:val="006734B7"/>
    <w:rsid w:val="006744C9"/>
    <w:rsid w:val="00681D15"/>
    <w:rsid w:val="00682E7A"/>
    <w:rsid w:val="006841B9"/>
    <w:rsid w:val="006876FC"/>
    <w:rsid w:val="006918E0"/>
    <w:rsid w:val="0069231B"/>
    <w:rsid w:val="00695128"/>
    <w:rsid w:val="00695919"/>
    <w:rsid w:val="00695DF8"/>
    <w:rsid w:val="00697152"/>
    <w:rsid w:val="006A0B61"/>
    <w:rsid w:val="006A1307"/>
    <w:rsid w:val="006A30B6"/>
    <w:rsid w:val="006A6A45"/>
    <w:rsid w:val="006A748A"/>
    <w:rsid w:val="006B2967"/>
    <w:rsid w:val="006B2FB0"/>
    <w:rsid w:val="006B3275"/>
    <w:rsid w:val="006B368F"/>
    <w:rsid w:val="006B4300"/>
    <w:rsid w:val="006B685B"/>
    <w:rsid w:val="006C2F28"/>
    <w:rsid w:val="006C437A"/>
    <w:rsid w:val="006C6194"/>
    <w:rsid w:val="006C756F"/>
    <w:rsid w:val="006C7F77"/>
    <w:rsid w:val="006D03F3"/>
    <w:rsid w:val="006D05DF"/>
    <w:rsid w:val="006D0DE4"/>
    <w:rsid w:val="006D300E"/>
    <w:rsid w:val="006D7356"/>
    <w:rsid w:val="006D7607"/>
    <w:rsid w:val="006E1A57"/>
    <w:rsid w:val="006E2889"/>
    <w:rsid w:val="006E6763"/>
    <w:rsid w:val="006F13C3"/>
    <w:rsid w:val="006F1515"/>
    <w:rsid w:val="006F1F6D"/>
    <w:rsid w:val="006F2CEE"/>
    <w:rsid w:val="006F3DAD"/>
    <w:rsid w:val="006F7666"/>
    <w:rsid w:val="006F7B2B"/>
    <w:rsid w:val="007020E3"/>
    <w:rsid w:val="0071178F"/>
    <w:rsid w:val="00712802"/>
    <w:rsid w:val="00712AE3"/>
    <w:rsid w:val="00712BD9"/>
    <w:rsid w:val="007138E7"/>
    <w:rsid w:val="007210FD"/>
    <w:rsid w:val="00721796"/>
    <w:rsid w:val="00721CA5"/>
    <w:rsid w:val="00723D06"/>
    <w:rsid w:val="007240AC"/>
    <w:rsid w:val="0072482F"/>
    <w:rsid w:val="00725AE9"/>
    <w:rsid w:val="00725B58"/>
    <w:rsid w:val="00725DAB"/>
    <w:rsid w:val="00730396"/>
    <w:rsid w:val="00731C86"/>
    <w:rsid w:val="00731FD6"/>
    <w:rsid w:val="00732D90"/>
    <w:rsid w:val="00733260"/>
    <w:rsid w:val="00733E55"/>
    <w:rsid w:val="007356CB"/>
    <w:rsid w:val="0074092D"/>
    <w:rsid w:val="00740F10"/>
    <w:rsid w:val="007418F4"/>
    <w:rsid w:val="00741BA5"/>
    <w:rsid w:val="00741E0A"/>
    <w:rsid w:val="0074215B"/>
    <w:rsid w:val="007425C8"/>
    <w:rsid w:val="007438FA"/>
    <w:rsid w:val="0074499A"/>
    <w:rsid w:val="00747233"/>
    <w:rsid w:val="00750558"/>
    <w:rsid w:val="00761451"/>
    <w:rsid w:val="007617EE"/>
    <w:rsid w:val="00762AA1"/>
    <w:rsid w:val="007648B8"/>
    <w:rsid w:val="00764F59"/>
    <w:rsid w:val="00775A31"/>
    <w:rsid w:val="00776492"/>
    <w:rsid w:val="00777ABB"/>
    <w:rsid w:val="00777B07"/>
    <w:rsid w:val="00782662"/>
    <w:rsid w:val="007833A0"/>
    <w:rsid w:val="0078367B"/>
    <w:rsid w:val="00783849"/>
    <w:rsid w:val="00784893"/>
    <w:rsid w:val="0078560E"/>
    <w:rsid w:val="0078779E"/>
    <w:rsid w:val="00790ABE"/>
    <w:rsid w:val="00791BEC"/>
    <w:rsid w:val="0079261B"/>
    <w:rsid w:val="007930E7"/>
    <w:rsid w:val="007950B8"/>
    <w:rsid w:val="007A2148"/>
    <w:rsid w:val="007A260E"/>
    <w:rsid w:val="007A40E1"/>
    <w:rsid w:val="007A6DAB"/>
    <w:rsid w:val="007B0737"/>
    <w:rsid w:val="007B1D9A"/>
    <w:rsid w:val="007C1CFC"/>
    <w:rsid w:val="007C2B1D"/>
    <w:rsid w:val="007C74D0"/>
    <w:rsid w:val="007D0AE5"/>
    <w:rsid w:val="007D1361"/>
    <w:rsid w:val="007D64DB"/>
    <w:rsid w:val="007D670B"/>
    <w:rsid w:val="007D6C29"/>
    <w:rsid w:val="007E3662"/>
    <w:rsid w:val="007E4667"/>
    <w:rsid w:val="007F0745"/>
    <w:rsid w:val="00800F33"/>
    <w:rsid w:val="00801F43"/>
    <w:rsid w:val="008022D8"/>
    <w:rsid w:val="008030E3"/>
    <w:rsid w:val="00804F87"/>
    <w:rsid w:val="00810ACF"/>
    <w:rsid w:val="00813215"/>
    <w:rsid w:val="008144BF"/>
    <w:rsid w:val="00820FC5"/>
    <w:rsid w:val="00823650"/>
    <w:rsid w:val="00824104"/>
    <w:rsid w:val="00830AE5"/>
    <w:rsid w:val="00830F40"/>
    <w:rsid w:val="008311E6"/>
    <w:rsid w:val="008335A7"/>
    <w:rsid w:val="008339ED"/>
    <w:rsid w:val="00837827"/>
    <w:rsid w:val="00841652"/>
    <w:rsid w:val="00846D0E"/>
    <w:rsid w:val="00846F12"/>
    <w:rsid w:val="00851711"/>
    <w:rsid w:val="00851E29"/>
    <w:rsid w:val="00855A7A"/>
    <w:rsid w:val="008576AC"/>
    <w:rsid w:val="0085789B"/>
    <w:rsid w:val="008607C4"/>
    <w:rsid w:val="00863321"/>
    <w:rsid w:val="00870758"/>
    <w:rsid w:val="00876C32"/>
    <w:rsid w:val="00883482"/>
    <w:rsid w:val="008848F9"/>
    <w:rsid w:val="00891BD6"/>
    <w:rsid w:val="00894DB6"/>
    <w:rsid w:val="00896CA2"/>
    <w:rsid w:val="008A094D"/>
    <w:rsid w:val="008A2D96"/>
    <w:rsid w:val="008A3CA7"/>
    <w:rsid w:val="008A5B67"/>
    <w:rsid w:val="008A643A"/>
    <w:rsid w:val="008A6FAB"/>
    <w:rsid w:val="008B0A45"/>
    <w:rsid w:val="008B2F32"/>
    <w:rsid w:val="008B3A6A"/>
    <w:rsid w:val="008B43E1"/>
    <w:rsid w:val="008C10AE"/>
    <w:rsid w:val="008C44BD"/>
    <w:rsid w:val="008C4762"/>
    <w:rsid w:val="008C5BDB"/>
    <w:rsid w:val="008C633B"/>
    <w:rsid w:val="008D14A4"/>
    <w:rsid w:val="008D20EE"/>
    <w:rsid w:val="008D2143"/>
    <w:rsid w:val="008D3516"/>
    <w:rsid w:val="008D4454"/>
    <w:rsid w:val="008D50D1"/>
    <w:rsid w:val="008D514E"/>
    <w:rsid w:val="008D5FE3"/>
    <w:rsid w:val="008D777B"/>
    <w:rsid w:val="008E019D"/>
    <w:rsid w:val="008E2327"/>
    <w:rsid w:val="008E4C58"/>
    <w:rsid w:val="008E7AD0"/>
    <w:rsid w:val="008F0CC3"/>
    <w:rsid w:val="008F4E13"/>
    <w:rsid w:val="008F53A2"/>
    <w:rsid w:val="008F6135"/>
    <w:rsid w:val="008F725D"/>
    <w:rsid w:val="008F7B76"/>
    <w:rsid w:val="00902852"/>
    <w:rsid w:val="00902B60"/>
    <w:rsid w:val="00905172"/>
    <w:rsid w:val="009071EC"/>
    <w:rsid w:val="00907921"/>
    <w:rsid w:val="00907D56"/>
    <w:rsid w:val="0091058D"/>
    <w:rsid w:val="00911FAC"/>
    <w:rsid w:val="009121C9"/>
    <w:rsid w:val="0091436D"/>
    <w:rsid w:val="009206D7"/>
    <w:rsid w:val="00920940"/>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85B"/>
    <w:rsid w:val="0095428F"/>
    <w:rsid w:val="00955462"/>
    <w:rsid w:val="00956FFC"/>
    <w:rsid w:val="0095730D"/>
    <w:rsid w:val="00960BC2"/>
    <w:rsid w:val="00963DE4"/>
    <w:rsid w:val="00965180"/>
    <w:rsid w:val="00967DD1"/>
    <w:rsid w:val="009718CC"/>
    <w:rsid w:val="00971966"/>
    <w:rsid w:val="00974931"/>
    <w:rsid w:val="009759FD"/>
    <w:rsid w:val="009931BE"/>
    <w:rsid w:val="00994D6C"/>
    <w:rsid w:val="00995804"/>
    <w:rsid w:val="00995EC3"/>
    <w:rsid w:val="009963B0"/>
    <w:rsid w:val="00997F97"/>
    <w:rsid w:val="009A042F"/>
    <w:rsid w:val="009A5855"/>
    <w:rsid w:val="009B2899"/>
    <w:rsid w:val="009B3032"/>
    <w:rsid w:val="009B6F0C"/>
    <w:rsid w:val="009C03FD"/>
    <w:rsid w:val="009C425B"/>
    <w:rsid w:val="009C5768"/>
    <w:rsid w:val="009D3F45"/>
    <w:rsid w:val="009D44F8"/>
    <w:rsid w:val="009D736B"/>
    <w:rsid w:val="009E05E4"/>
    <w:rsid w:val="009E06D9"/>
    <w:rsid w:val="009E19EE"/>
    <w:rsid w:val="009E4512"/>
    <w:rsid w:val="009E454E"/>
    <w:rsid w:val="009E4A0B"/>
    <w:rsid w:val="009E6E35"/>
    <w:rsid w:val="009E6EA9"/>
    <w:rsid w:val="009F1091"/>
    <w:rsid w:val="009F4026"/>
    <w:rsid w:val="009F5385"/>
    <w:rsid w:val="009F6AED"/>
    <w:rsid w:val="009F7555"/>
    <w:rsid w:val="009F7F22"/>
    <w:rsid w:val="00A01F37"/>
    <w:rsid w:val="00A037BA"/>
    <w:rsid w:val="00A0518F"/>
    <w:rsid w:val="00A05F2F"/>
    <w:rsid w:val="00A063BB"/>
    <w:rsid w:val="00A07F09"/>
    <w:rsid w:val="00A14F45"/>
    <w:rsid w:val="00A20274"/>
    <w:rsid w:val="00A21E0D"/>
    <w:rsid w:val="00A22747"/>
    <w:rsid w:val="00A31157"/>
    <w:rsid w:val="00A319F1"/>
    <w:rsid w:val="00A32CF2"/>
    <w:rsid w:val="00A32F8F"/>
    <w:rsid w:val="00A34613"/>
    <w:rsid w:val="00A352F7"/>
    <w:rsid w:val="00A36527"/>
    <w:rsid w:val="00A36B78"/>
    <w:rsid w:val="00A37CC7"/>
    <w:rsid w:val="00A40ED7"/>
    <w:rsid w:val="00A42ACD"/>
    <w:rsid w:val="00A4508D"/>
    <w:rsid w:val="00A462F9"/>
    <w:rsid w:val="00A47DB4"/>
    <w:rsid w:val="00A51FCC"/>
    <w:rsid w:val="00A539FE"/>
    <w:rsid w:val="00A54C37"/>
    <w:rsid w:val="00A57277"/>
    <w:rsid w:val="00A610D6"/>
    <w:rsid w:val="00A65793"/>
    <w:rsid w:val="00A664A9"/>
    <w:rsid w:val="00A7396B"/>
    <w:rsid w:val="00A75C17"/>
    <w:rsid w:val="00A76CDE"/>
    <w:rsid w:val="00A7787C"/>
    <w:rsid w:val="00A8106A"/>
    <w:rsid w:val="00A815E6"/>
    <w:rsid w:val="00A82FE8"/>
    <w:rsid w:val="00A84A35"/>
    <w:rsid w:val="00A84F33"/>
    <w:rsid w:val="00A8577F"/>
    <w:rsid w:val="00A859D7"/>
    <w:rsid w:val="00A85AED"/>
    <w:rsid w:val="00A85E6B"/>
    <w:rsid w:val="00A86A3A"/>
    <w:rsid w:val="00A87040"/>
    <w:rsid w:val="00A907F5"/>
    <w:rsid w:val="00A917EF"/>
    <w:rsid w:val="00A9315D"/>
    <w:rsid w:val="00A93213"/>
    <w:rsid w:val="00A94C23"/>
    <w:rsid w:val="00AA0400"/>
    <w:rsid w:val="00AA1C4A"/>
    <w:rsid w:val="00AA2503"/>
    <w:rsid w:val="00AA3A5F"/>
    <w:rsid w:val="00AA524E"/>
    <w:rsid w:val="00AA528E"/>
    <w:rsid w:val="00AA6B32"/>
    <w:rsid w:val="00AA7E73"/>
    <w:rsid w:val="00AB01DA"/>
    <w:rsid w:val="00AB2378"/>
    <w:rsid w:val="00AB47A5"/>
    <w:rsid w:val="00AB6365"/>
    <w:rsid w:val="00AC3C1D"/>
    <w:rsid w:val="00AC3C99"/>
    <w:rsid w:val="00AC4D7B"/>
    <w:rsid w:val="00AC5D86"/>
    <w:rsid w:val="00AC67BE"/>
    <w:rsid w:val="00AC6D26"/>
    <w:rsid w:val="00AC7A40"/>
    <w:rsid w:val="00AD1CD8"/>
    <w:rsid w:val="00AD2EFE"/>
    <w:rsid w:val="00AD458F"/>
    <w:rsid w:val="00AD464E"/>
    <w:rsid w:val="00AD48B5"/>
    <w:rsid w:val="00AD4E5C"/>
    <w:rsid w:val="00AD55A2"/>
    <w:rsid w:val="00AD5AC5"/>
    <w:rsid w:val="00AD67FA"/>
    <w:rsid w:val="00AD6F14"/>
    <w:rsid w:val="00AD75F5"/>
    <w:rsid w:val="00AE2086"/>
    <w:rsid w:val="00AE2480"/>
    <w:rsid w:val="00AE37C0"/>
    <w:rsid w:val="00AE42F8"/>
    <w:rsid w:val="00AE4D22"/>
    <w:rsid w:val="00AE5785"/>
    <w:rsid w:val="00AE7801"/>
    <w:rsid w:val="00AE7E6B"/>
    <w:rsid w:val="00AF1122"/>
    <w:rsid w:val="00AF12AE"/>
    <w:rsid w:val="00AF23E3"/>
    <w:rsid w:val="00AF4DB6"/>
    <w:rsid w:val="00B005DA"/>
    <w:rsid w:val="00B0087D"/>
    <w:rsid w:val="00B01948"/>
    <w:rsid w:val="00B04329"/>
    <w:rsid w:val="00B04698"/>
    <w:rsid w:val="00B0661D"/>
    <w:rsid w:val="00B067D3"/>
    <w:rsid w:val="00B06B81"/>
    <w:rsid w:val="00B11B63"/>
    <w:rsid w:val="00B12165"/>
    <w:rsid w:val="00B206AB"/>
    <w:rsid w:val="00B21A07"/>
    <w:rsid w:val="00B21B0D"/>
    <w:rsid w:val="00B3437D"/>
    <w:rsid w:val="00B34673"/>
    <w:rsid w:val="00B34704"/>
    <w:rsid w:val="00B3509A"/>
    <w:rsid w:val="00B36CA6"/>
    <w:rsid w:val="00B373FD"/>
    <w:rsid w:val="00B5181C"/>
    <w:rsid w:val="00B568DA"/>
    <w:rsid w:val="00B56E21"/>
    <w:rsid w:val="00B57D76"/>
    <w:rsid w:val="00B60B2C"/>
    <w:rsid w:val="00B637F8"/>
    <w:rsid w:val="00B63805"/>
    <w:rsid w:val="00B63E86"/>
    <w:rsid w:val="00B65033"/>
    <w:rsid w:val="00B6523B"/>
    <w:rsid w:val="00B75DA9"/>
    <w:rsid w:val="00B81C4C"/>
    <w:rsid w:val="00B836D7"/>
    <w:rsid w:val="00B876C9"/>
    <w:rsid w:val="00B90B47"/>
    <w:rsid w:val="00B927B9"/>
    <w:rsid w:val="00B94B23"/>
    <w:rsid w:val="00B94F27"/>
    <w:rsid w:val="00B95CA3"/>
    <w:rsid w:val="00B9662E"/>
    <w:rsid w:val="00B9772E"/>
    <w:rsid w:val="00BA4B4C"/>
    <w:rsid w:val="00BB0347"/>
    <w:rsid w:val="00BB6DB1"/>
    <w:rsid w:val="00BC0793"/>
    <w:rsid w:val="00BC0F8A"/>
    <w:rsid w:val="00BC293E"/>
    <w:rsid w:val="00BC5533"/>
    <w:rsid w:val="00BC617F"/>
    <w:rsid w:val="00BC6904"/>
    <w:rsid w:val="00BC7C3E"/>
    <w:rsid w:val="00BD0DC9"/>
    <w:rsid w:val="00BD1AA4"/>
    <w:rsid w:val="00BD2032"/>
    <w:rsid w:val="00BD6045"/>
    <w:rsid w:val="00BD729C"/>
    <w:rsid w:val="00BE1861"/>
    <w:rsid w:val="00BE1F3D"/>
    <w:rsid w:val="00BE417B"/>
    <w:rsid w:val="00BE41AC"/>
    <w:rsid w:val="00BE47E2"/>
    <w:rsid w:val="00BE695A"/>
    <w:rsid w:val="00BE6B7A"/>
    <w:rsid w:val="00BF0197"/>
    <w:rsid w:val="00BF16D0"/>
    <w:rsid w:val="00BF378B"/>
    <w:rsid w:val="00BF3AAA"/>
    <w:rsid w:val="00BF49A1"/>
    <w:rsid w:val="00BF5F06"/>
    <w:rsid w:val="00C001C3"/>
    <w:rsid w:val="00C03ABA"/>
    <w:rsid w:val="00C03EED"/>
    <w:rsid w:val="00C04458"/>
    <w:rsid w:val="00C050C8"/>
    <w:rsid w:val="00C10178"/>
    <w:rsid w:val="00C1126D"/>
    <w:rsid w:val="00C117BA"/>
    <w:rsid w:val="00C11E39"/>
    <w:rsid w:val="00C31469"/>
    <w:rsid w:val="00C31F64"/>
    <w:rsid w:val="00C3387B"/>
    <w:rsid w:val="00C34AB7"/>
    <w:rsid w:val="00C372E8"/>
    <w:rsid w:val="00C409FD"/>
    <w:rsid w:val="00C40BC4"/>
    <w:rsid w:val="00C41683"/>
    <w:rsid w:val="00C436F7"/>
    <w:rsid w:val="00C43C3B"/>
    <w:rsid w:val="00C43E51"/>
    <w:rsid w:val="00C46829"/>
    <w:rsid w:val="00C5155E"/>
    <w:rsid w:val="00C51B11"/>
    <w:rsid w:val="00C522BF"/>
    <w:rsid w:val="00C54D4A"/>
    <w:rsid w:val="00C55D78"/>
    <w:rsid w:val="00C624D3"/>
    <w:rsid w:val="00C63714"/>
    <w:rsid w:val="00C637FF"/>
    <w:rsid w:val="00C6563F"/>
    <w:rsid w:val="00C66185"/>
    <w:rsid w:val="00C66F66"/>
    <w:rsid w:val="00C70905"/>
    <w:rsid w:val="00C711A5"/>
    <w:rsid w:val="00C7254B"/>
    <w:rsid w:val="00C72E46"/>
    <w:rsid w:val="00C72E55"/>
    <w:rsid w:val="00C73FAD"/>
    <w:rsid w:val="00C74B7A"/>
    <w:rsid w:val="00C848C5"/>
    <w:rsid w:val="00C85C35"/>
    <w:rsid w:val="00C92365"/>
    <w:rsid w:val="00C92FAC"/>
    <w:rsid w:val="00C94CA1"/>
    <w:rsid w:val="00C95782"/>
    <w:rsid w:val="00C95C63"/>
    <w:rsid w:val="00C9636D"/>
    <w:rsid w:val="00C966F2"/>
    <w:rsid w:val="00C96B07"/>
    <w:rsid w:val="00CA1D2E"/>
    <w:rsid w:val="00CA3E0A"/>
    <w:rsid w:val="00CA56B4"/>
    <w:rsid w:val="00CA64A3"/>
    <w:rsid w:val="00CA7013"/>
    <w:rsid w:val="00CA7A6A"/>
    <w:rsid w:val="00CA7DD0"/>
    <w:rsid w:val="00CB08C3"/>
    <w:rsid w:val="00CB166E"/>
    <w:rsid w:val="00CB35F2"/>
    <w:rsid w:val="00CB7959"/>
    <w:rsid w:val="00CB7B6D"/>
    <w:rsid w:val="00CC3B04"/>
    <w:rsid w:val="00CC3DD8"/>
    <w:rsid w:val="00CC6219"/>
    <w:rsid w:val="00CC6AB9"/>
    <w:rsid w:val="00CD0AB6"/>
    <w:rsid w:val="00CD2358"/>
    <w:rsid w:val="00CD368E"/>
    <w:rsid w:val="00CD43B6"/>
    <w:rsid w:val="00CD5DEA"/>
    <w:rsid w:val="00CD6E0C"/>
    <w:rsid w:val="00CE0394"/>
    <w:rsid w:val="00CE07EC"/>
    <w:rsid w:val="00CE3D5F"/>
    <w:rsid w:val="00CE7156"/>
    <w:rsid w:val="00CE7E29"/>
    <w:rsid w:val="00CF03D9"/>
    <w:rsid w:val="00CF1A33"/>
    <w:rsid w:val="00CF1E8F"/>
    <w:rsid w:val="00CF345F"/>
    <w:rsid w:val="00CF39F0"/>
    <w:rsid w:val="00CF5180"/>
    <w:rsid w:val="00CF6F8C"/>
    <w:rsid w:val="00D0005C"/>
    <w:rsid w:val="00D005E6"/>
    <w:rsid w:val="00D00F5B"/>
    <w:rsid w:val="00D029CD"/>
    <w:rsid w:val="00D03677"/>
    <w:rsid w:val="00D050FE"/>
    <w:rsid w:val="00D06D07"/>
    <w:rsid w:val="00D076FD"/>
    <w:rsid w:val="00D07962"/>
    <w:rsid w:val="00D10EB9"/>
    <w:rsid w:val="00D1489D"/>
    <w:rsid w:val="00D15D84"/>
    <w:rsid w:val="00D20EA2"/>
    <w:rsid w:val="00D23B7C"/>
    <w:rsid w:val="00D272E0"/>
    <w:rsid w:val="00D330CC"/>
    <w:rsid w:val="00D33772"/>
    <w:rsid w:val="00D41CD2"/>
    <w:rsid w:val="00D41DC3"/>
    <w:rsid w:val="00D44F27"/>
    <w:rsid w:val="00D46C72"/>
    <w:rsid w:val="00D52234"/>
    <w:rsid w:val="00D537FC"/>
    <w:rsid w:val="00D600D2"/>
    <w:rsid w:val="00D606F0"/>
    <w:rsid w:val="00D61185"/>
    <w:rsid w:val="00D63A50"/>
    <w:rsid w:val="00D66C60"/>
    <w:rsid w:val="00D721C4"/>
    <w:rsid w:val="00D759D7"/>
    <w:rsid w:val="00D7735F"/>
    <w:rsid w:val="00D80037"/>
    <w:rsid w:val="00D86025"/>
    <w:rsid w:val="00D86289"/>
    <w:rsid w:val="00D901DE"/>
    <w:rsid w:val="00D921FB"/>
    <w:rsid w:val="00D94246"/>
    <w:rsid w:val="00D964D4"/>
    <w:rsid w:val="00DA046D"/>
    <w:rsid w:val="00DA058C"/>
    <w:rsid w:val="00DA42AB"/>
    <w:rsid w:val="00DA4D57"/>
    <w:rsid w:val="00DA6B2B"/>
    <w:rsid w:val="00DA6C71"/>
    <w:rsid w:val="00DA6CA1"/>
    <w:rsid w:val="00DB1FB7"/>
    <w:rsid w:val="00DB2ED9"/>
    <w:rsid w:val="00DB3410"/>
    <w:rsid w:val="00DB3CA0"/>
    <w:rsid w:val="00DB452E"/>
    <w:rsid w:val="00DB4C2A"/>
    <w:rsid w:val="00DB562F"/>
    <w:rsid w:val="00DC0DCD"/>
    <w:rsid w:val="00DC6714"/>
    <w:rsid w:val="00DD311C"/>
    <w:rsid w:val="00DD379F"/>
    <w:rsid w:val="00DE0067"/>
    <w:rsid w:val="00DE2AF7"/>
    <w:rsid w:val="00DE357A"/>
    <w:rsid w:val="00DE4FCF"/>
    <w:rsid w:val="00DE5278"/>
    <w:rsid w:val="00DE71C9"/>
    <w:rsid w:val="00DF31FC"/>
    <w:rsid w:val="00DF6742"/>
    <w:rsid w:val="00E0259D"/>
    <w:rsid w:val="00E038ED"/>
    <w:rsid w:val="00E061D4"/>
    <w:rsid w:val="00E06A2A"/>
    <w:rsid w:val="00E100F8"/>
    <w:rsid w:val="00E13AA7"/>
    <w:rsid w:val="00E14783"/>
    <w:rsid w:val="00E20D51"/>
    <w:rsid w:val="00E2189A"/>
    <w:rsid w:val="00E23612"/>
    <w:rsid w:val="00E26463"/>
    <w:rsid w:val="00E3402E"/>
    <w:rsid w:val="00E37419"/>
    <w:rsid w:val="00E40BE0"/>
    <w:rsid w:val="00E42446"/>
    <w:rsid w:val="00E42D2B"/>
    <w:rsid w:val="00E43B08"/>
    <w:rsid w:val="00E44A73"/>
    <w:rsid w:val="00E44D49"/>
    <w:rsid w:val="00E4771D"/>
    <w:rsid w:val="00E47A22"/>
    <w:rsid w:val="00E5257D"/>
    <w:rsid w:val="00E53627"/>
    <w:rsid w:val="00E56265"/>
    <w:rsid w:val="00E60832"/>
    <w:rsid w:val="00E609A0"/>
    <w:rsid w:val="00E61053"/>
    <w:rsid w:val="00E65E7E"/>
    <w:rsid w:val="00E664A6"/>
    <w:rsid w:val="00E67799"/>
    <w:rsid w:val="00E70F08"/>
    <w:rsid w:val="00E711CC"/>
    <w:rsid w:val="00E71C44"/>
    <w:rsid w:val="00E73C2D"/>
    <w:rsid w:val="00E81FA0"/>
    <w:rsid w:val="00E84391"/>
    <w:rsid w:val="00E86823"/>
    <w:rsid w:val="00E87D2A"/>
    <w:rsid w:val="00E90408"/>
    <w:rsid w:val="00E90EB0"/>
    <w:rsid w:val="00E913FA"/>
    <w:rsid w:val="00E9395D"/>
    <w:rsid w:val="00E9486A"/>
    <w:rsid w:val="00E94C6C"/>
    <w:rsid w:val="00E95798"/>
    <w:rsid w:val="00EA10EC"/>
    <w:rsid w:val="00EA2369"/>
    <w:rsid w:val="00EA370E"/>
    <w:rsid w:val="00EA5FFB"/>
    <w:rsid w:val="00EA79D9"/>
    <w:rsid w:val="00EB03F2"/>
    <w:rsid w:val="00EB100F"/>
    <w:rsid w:val="00EB1CBF"/>
    <w:rsid w:val="00EB1FAB"/>
    <w:rsid w:val="00EB25FA"/>
    <w:rsid w:val="00EB2AB1"/>
    <w:rsid w:val="00EB3A35"/>
    <w:rsid w:val="00EB401E"/>
    <w:rsid w:val="00EB5892"/>
    <w:rsid w:val="00EB6530"/>
    <w:rsid w:val="00EC0760"/>
    <w:rsid w:val="00EC19D4"/>
    <w:rsid w:val="00EC275B"/>
    <w:rsid w:val="00EC2861"/>
    <w:rsid w:val="00EC2DAF"/>
    <w:rsid w:val="00EC36D3"/>
    <w:rsid w:val="00EC3FCE"/>
    <w:rsid w:val="00EC61EB"/>
    <w:rsid w:val="00ED0C5F"/>
    <w:rsid w:val="00ED55A9"/>
    <w:rsid w:val="00ED67D4"/>
    <w:rsid w:val="00ED6D17"/>
    <w:rsid w:val="00EE4A69"/>
    <w:rsid w:val="00EE60A3"/>
    <w:rsid w:val="00EE643A"/>
    <w:rsid w:val="00EE6A4F"/>
    <w:rsid w:val="00EF0C67"/>
    <w:rsid w:val="00EF3C5C"/>
    <w:rsid w:val="00EF49B9"/>
    <w:rsid w:val="00EF5DB7"/>
    <w:rsid w:val="00F0150C"/>
    <w:rsid w:val="00F0170A"/>
    <w:rsid w:val="00F02D02"/>
    <w:rsid w:val="00F049C9"/>
    <w:rsid w:val="00F060F6"/>
    <w:rsid w:val="00F1082D"/>
    <w:rsid w:val="00F11BAE"/>
    <w:rsid w:val="00F15731"/>
    <w:rsid w:val="00F212C9"/>
    <w:rsid w:val="00F233EE"/>
    <w:rsid w:val="00F24B2E"/>
    <w:rsid w:val="00F24F9A"/>
    <w:rsid w:val="00F27EC6"/>
    <w:rsid w:val="00F3187D"/>
    <w:rsid w:val="00F31886"/>
    <w:rsid w:val="00F31C31"/>
    <w:rsid w:val="00F32258"/>
    <w:rsid w:val="00F323E1"/>
    <w:rsid w:val="00F33144"/>
    <w:rsid w:val="00F34BCD"/>
    <w:rsid w:val="00F358A0"/>
    <w:rsid w:val="00F35BDB"/>
    <w:rsid w:val="00F373EC"/>
    <w:rsid w:val="00F4027F"/>
    <w:rsid w:val="00F403E5"/>
    <w:rsid w:val="00F4215C"/>
    <w:rsid w:val="00F436F0"/>
    <w:rsid w:val="00F46688"/>
    <w:rsid w:val="00F46CA3"/>
    <w:rsid w:val="00F474F9"/>
    <w:rsid w:val="00F50B48"/>
    <w:rsid w:val="00F51522"/>
    <w:rsid w:val="00F52284"/>
    <w:rsid w:val="00F54608"/>
    <w:rsid w:val="00F6108D"/>
    <w:rsid w:val="00F64686"/>
    <w:rsid w:val="00F7490C"/>
    <w:rsid w:val="00F74AE5"/>
    <w:rsid w:val="00F772B8"/>
    <w:rsid w:val="00F77D52"/>
    <w:rsid w:val="00F80195"/>
    <w:rsid w:val="00F8024C"/>
    <w:rsid w:val="00F83CED"/>
    <w:rsid w:val="00F857CF"/>
    <w:rsid w:val="00F9059C"/>
    <w:rsid w:val="00F90C76"/>
    <w:rsid w:val="00F92A01"/>
    <w:rsid w:val="00F94EAA"/>
    <w:rsid w:val="00F95125"/>
    <w:rsid w:val="00F953B3"/>
    <w:rsid w:val="00F967CF"/>
    <w:rsid w:val="00FA4061"/>
    <w:rsid w:val="00FA5681"/>
    <w:rsid w:val="00FA7684"/>
    <w:rsid w:val="00FA7C38"/>
    <w:rsid w:val="00FB0498"/>
    <w:rsid w:val="00FB2A86"/>
    <w:rsid w:val="00FB5AEA"/>
    <w:rsid w:val="00FB7AA1"/>
    <w:rsid w:val="00FB7EDA"/>
    <w:rsid w:val="00FD1F11"/>
    <w:rsid w:val="00FD52B0"/>
    <w:rsid w:val="00FD60D9"/>
    <w:rsid w:val="00FD7958"/>
    <w:rsid w:val="00FE184F"/>
    <w:rsid w:val="00FE2F78"/>
    <w:rsid w:val="00FE6E02"/>
    <w:rsid w:val="00FF281F"/>
    <w:rsid w:val="00FF3871"/>
    <w:rsid w:val="00FF3E4E"/>
    <w:rsid w:val="00FF477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ListParagraph">
    <w:name w:val="List Paragraph"/>
    <w:basedOn w:val="Normal"/>
    <w:uiPriority w:val="34"/>
    <w:qFormat/>
    <w:rsid w:val="00800F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ListParagraph">
    <w:name w:val="List Paragraph"/>
    <w:basedOn w:val="Normal"/>
    <w:uiPriority w:val="34"/>
    <w:qFormat/>
    <w:rsid w:val="00800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64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7C304-BA40-4188-B61E-7BCF502A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10985</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Trần Viết Thọ</cp:lastModifiedBy>
  <cp:revision>88</cp:revision>
  <cp:lastPrinted>2024-11-08T07:12:00Z</cp:lastPrinted>
  <dcterms:created xsi:type="dcterms:W3CDTF">2024-02-02T01:13:00Z</dcterms:created>
  <dcterms:modified xsi:type="dcterms:W3CDTF">2026-01-08T00:48:00Z</dcterms:modified>
</cp:coreProperties>
</file>