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303" w:type="dxa"/>
        <w:tblInd w:w="-176" w:type="dxa"/>
        <w:tblLook w:val="04A0" w:firstRow="1" w:lastRow="0" w:firstColumn="1" w:lastColumn="0" w:noHBand="0" w:noVBand="1"/>
      </w:tblPr>
      <w:tblGrid>
        <w:gridCol w:w="5104"/>
        <w:gridCol w:w="11199"/>
      </w:tblGrid>
      <w:tr w:rsidR="00AB0B04" w:rsidRPr="00B84F4E" w14:paraId="5EFC96E9" w14:textId="77777777" w:rsidTr="00AC46D1">
        <w:trPr>
          <w:trHeight w:val="851"/>
        </w:trPr>
        <w:tc>
          <w:tcPr>
            <w:tcW w:w="5104" w:type="dxa"/>
          </w:tcPr>
          <w:p w14:paraId="71926321" w14:textId="77777777" w:rsidR="009502CA" w:rsidRPr="00B84F4E" w:rsidRDefault="009502CA" w:rsidP="005733F1">
            <w:pPr>
              <w:tabs>
                <w:tab w:val="center" w:pos="1800"/>
                <w:tab w:val="center" w:pos="6300"/>
              </w:tabs>
              <w:jc w:val="center"/>
              <w:rPr>
                <w:noProof/>
                <w:color w:val="000000" w:themeColor="text1"/>
                <w:sz w:val="28"/>
                <w:szCs w:val="28"/>
              </w:rPr>
            </w:pPr>
            <w:r w:rsidRPr="00B84F4E">
              <w:rPr>
                <w:noProof/>
                <w:color w:val="000000" w:themeColor="text1"/>
                <w:sz w:val="28"/>
                <w:szCs w:val="28"/>
              </w:rPr>
              <w:t>BỘ CÔNG AN</w:t>
            </w:r>
          </w:p>
          <w:p w14:paraId="17F1CFDE" w14:textId="77777777" w:rsidR="006C41E6" w:rsidRPr="00B84F4E" w:rsidRDefault="009D39B8" w:rsidP="009502CA">
            <w:pPr>
              <w:tabs>
                <w:tab w:val="center" w:pos="6300"/>
              </w:tabs>
              <w:jc w:val="center"/>
              <w:rPr>
                <w:b/>
                <w:color w:val="000000" w:themeColor="text1"/>
                <w:sz w:val="28"/>
                <w:szCs w:val="28"/>
              </w:rPr>
            </w:pPr>
            <w:r w:rsidRPr="00B84F4E">
              <w:rPr>
                <w:b/>
                <w:noProof/>
                <w:color w:val="000000" w:themeColor="text1"/>
                <w:sz w:val="28"/>
                <w:szCs w:val="28"/>
              </w:rPr>
              <mc:AlternateContent>
                <mc:Choice Requires="wps">
                  <w:drawing>
                    <wp:anchor distT="0" distB="0" distL="114300" distR="114300" simplePos="0" relativeHeight="251656704" behindDoc="0" locked="0" layoutInCell="1" allowOverlap="1" wp14:anchorId="4E81F8BB" wp14:editId="6B2FEC88">
                      <wp:simplePos x="0" y="0"/>
                      <wp:positionH relativeFrom="column">
                        <wp:posOffset>1167829</wp:posOffset>
                      </wp:positionH>
                      <wp:positionV relativeFrom="paragraph">
                        <wp:posOffset>212725</wp:posOffset>
                      </wp:positionV>
                      <wp:extent cx="6413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4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1C7028B"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1.95pt,16.75pt" to="142.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oWmQEAAIc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" strokecolor="black [3040]"/>
                  </w:pict>
                </mc:Fallback>
              </mc:AlternateContent>
            </w:r>
            <w:r w:rsidR="009502CA" w:rsidRPr="00B84F4E">
              <w:rPr>
                <w:b/>
                <w:color w:val="000000" w:themeColor="text1"/>
                <w:sz w:val="28"/>
                <w:szCs w:val="28"/>
              </w:rPr>
              <w:t xml:space="preserve">CÔNG AN </w:t>
            </w:r>
            <w:r w:rsidR="00FB59D5" w:rsidRPr="00B84F4E">
              <w:rPr>
                <w:b/>
                <w:color w:val="000000" w:themeColor="text1"/>
                <w:sz w:val="28"/>
                <w:szCs w:val="28"/>
              </w:rPr>
              <w:t xml:space="preserve">TỈNH </w:t>
            </w:r>
            <w:r w:rsidR="00FB59D5" w:rsidRPr="00B84F4E">
              <w:rPr>
                <w:b/>
                <w:color w:val="000000" w:themeColor="text1"/>
                <w:sz w:val="28"/>
                <w:szCs w:val="28"/>
                <w:lang w:val="vi-VN"/>
              </w:rPr>
              <w:t>ĐỒNG</w:t>
            </w:r>
            <w:r w:rsidR="00FB59D5" w:rsidRPr="00B84F4E">
              <w:rPr>
                <w:b/>
                <w:color w:val="000000" w:themeColor="text1"/>
                <w:sz w:val="28"/>
                <w:szCs w:val="28"/>
              </w:rPr>
              <w:t xml:space="preserve"> </w:t>
            </w:r>
            <w:r w:rsidR="00026011" w:rsidRPr="00B84F4E">
              <w:rPr>
                <w:b/>
                <w:color w:val="000000" w:themeColor="text1"/>
                <w:sz w:val="28"/>
                <w:szCs w:val="28"/>
              </w:rPr>
              <w:t>NAI</w:t>
            </w:r>
          </w:p>
        </w:tc>
        <w:tc>
          <w:tcPr>
            <w:tcW w:w="11199" w:type="dxa"/>
          </w:tcPr>
          <w:p w14:paraId="32C03A43" w14:textId="77777777" w:rsidR="00326390" w:rsidRPr="00B84F4E" w:rsidRDefault="00326390" w:rsidP="005733F1">
            <w:pPr>
              <w:tabs>
                <w:tab w:val="center" w:pos="1800"/>
                <w:tab w:val="center" w:pos="6300"/>
              </w:tabs>
              <w:jc w:val="center"/>
              <w:rPr>
                <w:color w:val="000000" w:themeColor="text1"/>
                <w:sz w:val="28"/>
                <w:szCs w:val="28"/>
              </w:rPr>
            </w:pPr>
            <w:r w:rsidRPr="00B84F4E">
              <w:rPr>
                <w:b/>
                <w:color w:val="000000" w:themeColor="text1"/>
                <w:sz w:val="28"/>
                <w:szCs w:val="28"/>
              </w:rPr>
              <w:t>CỘNG HÒA XÃ HỘI CHỦ NGHĨA VIỆT NAM</w:t>
            </w:r>
          </w:p>
          <w:p w14:paraId="1387E22D" w14:textId="77777777" w:rsidR="00326390" w:rsidRPr="00B84F4E" w:rsidRDefault="009D39B8" w:rsidP="005733F1">
            <w:pPr>
              <w:tabs>
                <w:tab w:val="center" w:pos="1800"/>
                <w:tab w:val="center" w:pos="6300"/>
              </w:tabs>
              <w:jc w:val="center"/>
              <w:rPr>
                <w:color w:val="000000" w:themeColor="text1"/>
                <w:sz w:val="28"/>
                <w:szCs w:val="28"/>
              </w:rPr>
            </w:pPr>
            <w:r w:rsidRPr="00B84F4E">
              <w:rPr>
                <w:b/>
                <w:noProof/>
                <w:color w:val="000000" w:themeColor="text1"/>
                <w:sz w:val="28"/>
                <w:szCs w:val="28"/>
              </w:rPr>
              <mc:AlternateContent>
                <mc:Choice Requires="wps">
                  <w:drawing>
                    <wp:anchor distT="0" distB="0" distL="114300" distR="114300" simplePos="0" relativeHeight="251660800" behindDoc="0" locked="0" layoutInCell="1" allowOverlap="1" wp14:anchorId="28920C01" wp14:editId="05E339BD">
                      <wp:simplePos x="0" y="0"/>
                      <wp:positionH relativeFrom="column">
                        <wp:posOffset>2557716</wp:posOffset>
                      </wp:positionH>
                      <wp:positionV relativeFrom="paragraph">
                        <wp:posOffset>215265</wp:posOffset>
                      </wp:positionV>
                      <wp:extent cx="18288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56B070" id="Straight Connector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4pt,16.95pt" to="3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" strokecolor="black [3040]"/>
                  </w:pict>
                </mc:Fallback>
              </mc:AlternateContent>
            </w:r>
            <w:r w:rsidR="00326390" w:rsidRPr="00B84F4E">
              <w:rPr>
                <w:b/>
                <w:color w:val="000000" w:themeColor="text1"/>
                <w:sz w:val="28"/>
                <w:szCs w:val="28"/>
              </w:rPr>
              <w:t>Độc lập – Tự do – Hạnh phúc</w:t>
            </w:r>
          </w:p>
        </w:tc>
      </w:tr>
      <w:tr w:rsidR="00AB0B04" w:rsidRPr="00B84F4E" w14:paraId="09602CBC" w14:textId="77777777" w:rsidTr="00AC46D1">
        <w:trPr>
          <w:trHeight w:val="544"/>
        </w:trPr>
        <w:tc>
          <w:tcPr>
            <w:tcW w:w="5104" w:type="dxa"/>
          </w:tcPr>
          <w:p w14:paraId="1B365C30" w14:textId="77777777" w:rsidR="00326390" w:rsidRPr="00B84F4E" w:rsidRDefault="00326390" w:rsidP="009D39B8">
            <w:pPr>
              <w:tabs>
                <w:tab w:val="center" w:pos="1800"/>
                <w:tab w:val="center" w:pos="6300"/>
              </w:tabs>
              <w:spacing w:before="120"/>
              <w:jc w:val="center"/>
              <w:rPr>
                <w:color w:val="000000" w:themeColor="text1"/>
                <w:sz w:val="28"/>
                <w:szCs w:val="28"/>
              </w:rPr>
            </w:pPr>
          </w:p>
        </w:tc>
        <w:tc>
          <w:tcPr>
            <w:tcW w:w="11199" w:type="dxa"/>
          </w:tcPr>
          <w:p w14:paraId="0F7B545D" w14:textId="6E83853B" w:rsidR="00326390" w:rsidRPr="00B84F4E" w:rsidRDefault="00326390" w:rsidP="009502CA">
            <w:pPr>
              <w:tabs>
                <w:tab w:val="center" w:pos="1800"/>
                <w:tab w:val="center" w:pos="6300"/>
              </w:tabs>
              <w:spacing w:before="120"/>
              <w:jc w:val="center"/>
              <w:rPr>
                <w:color w:val="000000" w:themeColor="text1"/>
                <w:sz w:val="28"/>
                <w:szCs w:val="28"/>
              </w:rPr>
            </w:pPr>
            <w:r w:rsidRPr="00B84F4E">
              <w:rPr>
                <w:i/>
                <w:color w:val="000000" w:themeColor="text1"/>
                <w:sz w:val="28"/>
                <w:szCs w:val="28"/>
                <w:lang w:val="vi-VN"/>
              </w:rPr>
              <w:t xml:space="preserve">Đồng </w:t>
            </w:r>
            <w:r w:rsidR="00026011" w:rsidRPr="00B84F4E">
              <w:rPr>
                <w:i/>
                <w:color w:val="000000" w:themeColor="text1"/>
                <w:sz w:val="28"/>
                <w:szCs w:val="28"/>
              </w:rPr>
              <w:t>Nai</w:t>
            </w:r>
            <w:r w:rsidRPr="00B84F4E">
              <w:rPr>
                <w:i/>
                <w:color w:val="000000" w:themeColor="text1"/>
                <w:sz w:val="28"/>
                <w:szCs w:val="28"/>
              </w:rPr>
              <w:t xml:space="preserve">, ngày </w:t>
            </w:r>
            <w:r w:rsidR="00C23CDF" w:rsidRPr="00B84F4E">
              <w:rPr>
                <w:i/>
                <w:color w:val="000000" w:themeColor="text1"/>
                <w:sz w:val="28"/>
                <w:szCs w:val="28"/>
              </w:rPr>
              <w:t xml:space="preserve">  </w:t>
            </w:r>
            <w:r w:rsidR="009813D9" w:rsidRPr="00B84F4E">
              <w:rPr>
                <w:i/>
                <w:color w:val="000000" w:themeColor="text1"/>
                <w:sz w:val="28"/>
                <w:szCs w:val="28"/>
              </w:rPr>
              <w:t xml:space="preserve"> tháng </w:t>
            </w:r>
            <w:r w:rsidR="009502CA" w:rsidRPr="00B84F4E">
              <w:rPr>
                <w:i/>
                <w:color w:val="000000" w:themeColor="text1"/>
                <w:sz w:val="28"/>
                <w:szCs w:val="28"/>
              </w:rPr>
              <w:t>10</w:t>
            </w:r>
            <w:r w:rsidRPr="00B84F4E">
              <w:rPr>
                <w:i/>
                <w:color w:val="000000" w:themeColor="text1"/>
                <w:sz w:val="28"/>
                <w:szCs w:val="28"/>
              </w:rPr>
              <w:t xml:space="preserve"> năm 20</w:t>
            </w:r>
            <w:r w:rsidRPr="00B84F4E">
              <w:rPr>
                <w:i/>
                <w:color w:val="000000" w:themeColor="text1"/>
                <w:sz w:val="28"/>
                <w:szCs w:val="28"/>
                <w:lang w:val="vi-VN"/>
              </w:rPr>
              <w:t>2</w:t>
            </w:r>
            <w:r w:rsidR="001E323A" w:rsidRPr="00B84F4E">
              <w:rPr>
                <w:i/>
                <w:color w:val="000000" w:themeColor="text1"/>
                <w:sz w:val="28"/>
                <w:szCs w:val="28"/>
              </w:rPr>
              <w:t>5</w:t>
            </w:r>
          </w:p>
        </w:tc>
      </w:tr>
    </w:tbl>
    <w:p w14:paraId="49A0DD92" w14:textId="77777777" w:rsidR="00AD0D33" w:rsidRPr="00B84F4E" w:rsidRDefault="00AD0D33" w:rsidP="003E1B0C">
      <w:pPr>
        <w:tabs>
          <w:tab w:val="left" w:pos="3402"/>
        </w:tabs>
        <w:jc w:val="center"/>
        <w:rPr>
          <w:b/>
          <w:color w:val="000000" w:themeColor="text1"/>
          <w:sz w:val="28"/>
          <w:szCs w:val="28"/>
          <w:lang w:val="vi-VN"/>
        </w:rPr>
      </w:pPr>
    </w:p>
    <w:p w14:paraId="3B610980" w14:textId="19D4CC62" w:rsidR="009C645D" w:rsidRPr="00B84F4E" w:rsidRDefault="009C645D" w:rsidP="009C645D">
      <w:pPr>
        <w:tabs>
          <w:tab w:val="left" w:pos="3402"/>
        </w:tabs>
        <w:jc w:val="center"/>
        <w:rPr>
          <w:b/>
          <w:color w:val="000000" w:themeColor="text1"/>
          <w:sz w:val="28"/>
          <w:szCs w:val="28"/>
        </w:rPr>
      </w:pPr>
      <w:r w:rsidRPr="00B84F4E">
        <w:rPr>
          <w:b/>
          <w:color w:val="000000" w:themeColor="text1"/>
          <w:sz w:val="28"/>
          <w:szCs w:val="28"/>
        </w:rPr>
        <w:t>BẢN</w:t>
      </w:r>
      <w:r w:rsidR="001951E2" w:rsidRPr="00B84F4E">
        <w:rPr>
          <w:b/>
          <w:color w:val="000000" w:themeColor="text1"/>
          <w:sz w:val="28"/>
          <w:szCs w:val="28"/>
        </w:rPr>
        <w:t>G S</w:t>
      </w:r>
      <w:r w:rsidRPr="00B84F4E">
        <w:rPr>
          <w:b/>
          <w:color w:val="000000" w:themeColor="text1"/>
          <w:sz w:val="28"/>
          <w:szCs w:val="28"/>
        </w:rPr>
        <w:t xml:space="preserve">O SÁNH, THUYẾT MINH NỘI DUNG </w:t>
      </w:r>
    </w:p>
    <w:p w14:paraId="14B636B7" w14:textId="77777777" w:rsidR="00326390" w:rsidRPr="00B84F4E" w:rsidRDefault="009C645D" w:rsidP="009C645D">
      <w:pPr>
        <w:tabs>
          <w:tab w:val="left" w:pos="3402"/>
        </w:tabs>
        <w:jc w:val="center"/>
        <w:rPr>
          <w:rFonts w:eastAsia="Calibri"/>
          <w:b/>
          <w:color w:val="000000" w:themeColor="text1"/>
          <w:spacing w:val="-2"/>
          <w:sz w:val="28"/>
          <w:szCs w:val="28"/>
        </w:rPr>
      </w:pPr>
      <w:r w:rsidRPr="00B84F4E">
        <w:rPr>
          <w:b/>
          <w:color w:val="000000" w:themeColor="text1"/>
          <w:sz w:val="28"/>
          <w:szCs w:val="28"/>
        </w:rPr>
        <w:t xml:space="preserve">DỰ THẢO </w:t>
      </w:r>
      <w:r w:rsidRPr="00B84F4E">
        <w:rPr>
          <w:rFonts w:eastAsia="Calibri"/>
          <w:b/>
          <w:color w:val="000000" w:themeColor="text1"/>
          <w:spacing w:val="-2"/>
          <w:sz w:val="28"/>
          <w:szCs w:val="28"/>
        </w:rPr>
        <w:t>NGHỊ QUYẾT VỚI QUY ĐỊNH HIỆN HÀNH</w:t>
      </w:r>
    </w:p>
    <w:p w14:paraId="2D5DBB56" w14:textId="13EADAA9" w:rsidR="009502CA" w:rsidRPr="00B84F4E" w:rsidRDefault="009502CA" w:rsidP="009502CA">
      <w:pPr>
        <w:tabs>
          <w:tab w:val="left" w:pos="3402"/>
        </w:tabs>
        <w:jc w:val="center"/>
        <w:rPr>
          <w:i/>
          <w:color w:val="000000" w:themeColor="text1"/>
          <w:sz w:val="28"/>
          <w:szCs w:val="28"/>
          <w:lang w:val="vi-VN"/>
        </w:rPr>
      </w:pPr>
      <w:r w:rsidRPr="00B84F4E">
        <w:rPr>
          <w:rFonts w:eastAsia="Calibri"/>
          <w:i/>
          <w:color w:val="000000" w:themeColor="text1"/>
          <w:spacing w:val="-2"/>
          <w:sz w:val="28"/>
          <w:szCs w:val="28"/>
        </w:rPr>
        <w:t>(Kèm theo</w:t>
      </w:r>
      <w:r w:rsidR="00043464" w:rsidRPr="00B84F4E">
        <w:rPr>
          <w:rFonts w:eastAsia="Calibri"/>
          <w:i/>
          <w:color w:val="000000" w:themeColor="text1"/>
          <w:spacing w:val="-2"/>
          <w:sz w:val="28"/>
          <w:szCs w:val="28"/>
        </w:rPr>
        <w:t xml:space="preserve"> Công văn số</w:t>
      </w:r>
      <w:r w:rsidR="00C23CDF" w:rsidRPr="00B84F4E">
        <w:rPr>
          <w:rFonts w:eastAsia="Calibri"/>
          <w:i/>
          <w:color w:val="000000" w:themeColor="text1"/>
          <w:spacing w:val="-2"/>
          <w:sz w:val="28"/>
          <w:szCs w:val="28"/>
        </w:rPr>
        <w:t xml:space="preserve">   </w:t>
      </w:r>
      <w:r w:rsidRPr="00B84F4E">
        <w:rPr>
          <w:rFonts w:eastAsia="Calibri"/>
          <w:i/>
          <w:color w:val="000000" w:themeColor="text1"/>
          <w:spacing w:val="-2"/>
          <w:sz w:val="28"/>
          <w:szCs w:val="28"/>
        </w:rPr>
        <w:t xml:space="preserve"> /CAT-PV01 ngày </w:t>
      </w:r>
      <w:r w:rsidR="00C23CDF" w:rsidRPr="00B84F4E">
        <w:rPr>
          <w:rFonts w:eastAsia="Calibri"/>
          <w:i/>
          <w:color w:val="000000" w:themeColor="text1"/>
          <w:spacing w:val="-2"/>
          <w:sz w:val="28"/>
          <w:szCs w:val="28"/>
        </w:rPr>
        <w:t xml:space="preserve">   </w:t>
      </w:r>
      <w:r w:rsidRPr="00B84F4E">
        <w:rPr>
          <w:rFonts w:eastAsia="Calibri"/>
          <w:i/>
          <w:color w:val="000000" w:themeColor="text1"/>
          <w:spacing w:val="-2"/>
          <w:sz w:val="28"/>
          <w:szCs w:val="28"/>
        </w:rPr>
        <w:t>/10/2025 của Công an tỉnh)</w:t>
      </w:r>
    </w:p>
    <w:p w14:paraId="7FE89633" w14:textId="77777777" w:rsidR="00B405AF" w:rsidRPr="00B84F4E" w:rsidRDefault="00026011" w:rsidP="00952CB8">
      <w:pPr>
        <w:tabs>
          <w:tab w:val="center" w:pos="4702"/>
        </w:tabs>
        <w:spacing w:before="120" w:after="120"/>
        <w:jc w:val="center"/>
        <w:rPr>
          <w:color w:val="000000" w:themeColor="text1"/>
          <w:sz w:val="28"/>
          <w:szCs w:val="28"/>
        </w:rPr>
      </w:pPr>
      <w:r w:rsidRPr="00B84F4E">
        <w:rPr>
          <w:noProof/>
          <w:color w:val="000000" w:themeColor="text1"/>
          <w:sz w:val="28"/>
          <w:szCs w:val="28"/>
        </w:rPr>
        <mc:AlternateContent>
          <mc:Choice Requires="wps">
            <w:drawing>
              <wp:anchor distT="0" distB="0" distL="114300" distR="114300" simplePos="0" relativeHeight="251657728" behindDoc="0" locked="0" layoutInCell="1" allowOverlap="1" wp14:anchorId="792AC40D" wp14:editId="3869573D">
                <wp:simplePos x="0" y="0"/>
                <wp:positionH relativeFrom="column">
                  <wp:posOffset>4025900</wp:posOffset>
                </wp:positionH>
                <wp:positionV relativeFrom="paragraph">
                  <wp:posOffset>89535</wp:posOffset>
                </wp:positionV>
                <wp:extent cx="1485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D369E0"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pt,7.05pt" to="43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"/>
            </w:pict>
          </mc:Fallback>
        </mc:AlternateContent>
      </w:r>
    </w:p>
    <w:tbl>
      <w:tblPr>
        <w:tblStyle w:val="TableGrid"/>
        <w:tblW w:w="14142" w:type="dxa"/>
        <w:tblLook w:val="04A0" w:firstRow="1" w:lastRow="0" w:firstColumn="1" w:lastColumn="0" w:noHBand="0" w:noVBand="1"/>
      </w:tblPr>
      <w:tblGrid>
        <w:gridCol w:w="2943"/>
        <w:gridCol w:w="11199"/>
      </w:tblGrid>
      <w:tr w:rsidR="002B3BDF" w:rsidRPr="00B84F4E" w14:paraId="2A72448C" w14:textId="77777777" w:rsidTr="001951E2">
        <w:tc>
          <w:tcPr>
            <w:tcW w:w="2943" w:type="dxa"/>
          </w:tcPr>
          <w:p w14:paraId="18D71911" w14:textId="77777777" w:rsidR="002B3BDF" w:rsidRPr="00B84F4E" w:rsidRDefault="002B3BDF" w:rsidP="00952CB8">
            <w:pPr>
              <w:tabs>
                <w:tab w:val="center" w:pos="4702"/>
              </w:tabs>
              <w:spacing w:before="120" w:after="120"/>
              <w:jc w:val="center"/>
              <w:rPr>
                <w:b/>
                <w:color w:val="000000" w:themeColor="text1"/>
                <w:sz w:val="28"/>
                <w:szCs w:val="28"/>
              </w:rPr>
            </w:pPr>
            <w:r w:rsidRPr="00B84F4E">
              <w:rPr>
                <w:b/>
                <w:color w:val="000000" w:themeColor="text1"/>
                <w:sz w:val="28"/>
                <w:szCs w:val="28"/>
              </w:rPr>
              <w:t>DỰ THẢO NGHỊ QUYẾT</w:t>
            </w:r>
          </w:p>
        </w:tc>
        <w:tc>
          <w:tcPr>
            <w:tcW w:w="11199" w:type="dxa"/>
          </w:tcPr>
          <w:p w14:paraId="0EE96271" w14:textId="77777777" w:rsidR="002B3BDF" w:rsidRPr="00B84F4E" w:rsidRDefault="002B3BDF" w:rsidP="00952CB8">
            <w:pPr>
              <w:tabs>
                <w:tab w:val="center" w:pos="4702"/>
              </w:tabs>
              <w:spacing w:before="120" w:after="120"/>
              <w:jc w:val="center"/>
              <w:rPr>
                <w:b/>
                <w:color w:val="000000" w:themeColor="text1"/>
                <w:sz w:val="28"/>
                <w:szCs w:val="28"/>
              </w:rPr>
            </w:pPr>
            <w:r w:rsidRPr="00B84F4E">
              <w:rPr>
                <w:b/>
                <w:color w:val="000000" w:themeColor="text1"/>
                <w:sz w:val="28"/>
                <w:szCs w:val="28"/>
              </w:rPr>
              <w:t>THUYẾT MINH</w:t>
            </w:r>
          </w:p>
        </w:tc>
      </w:tr>
      <w:tr w:rsidR="002B3BDF" w:rsidRPr="00B84F4E" w14:paraId="3B1118FA" w14:textId="77777777" w:rsidTr="001951E2">
        <w:tc>
          <w:tcPr>
            <w:tcW w:w="2943" w:type="dxa"/>
          </w:tcPr>
          <w:p w14:paraId="7CBC6AE0" w14:textId="77777777" w:rsidR="002B3BDF" w:rsidRPr="00B84F4E" w:rsidRDefault="002B3BDF" w:rsidP="002B3BDF">
            <w:pPr>
              <w:tabs>
                <w:tab w:val="center" w:pos="4702"/>
              </w:tabs>
              <w:spacing w:before="120" w:after="120"/>
              <w:jc w:val="both"/>
              <w:rPr>
                <w:b/>
                <w:color w:val="000000" w:themeColor="text1"/>
                <w:sz w:val="28"/>
                <w:szCs w:val="28"/>
              </w:rPr>
            </w:pPr>
            <w:r w:rsidRPr="00B84F4E">
              <w:rPr>
                <w:b/>
                <w:color w:val="000000" w:themeColor="text1"/>
                <w:sz w:val="28"/>
                <w:szCs w:val="28"/>
                <w:lang w:val="nl-NL"/>
              </w:rPr>
              <w:t>Điều 1. Phạm vi điều chỉnh</w:t>
            </w:r>
          </w:p>
        </w:tc>
        <w:tc>
          <w:tcPr>
            <w:tcW w:w="11199" w:type="dxa"/>
          </w:tcPr>
          <w:p w14:paraId="635D002B" w14:textId="54D5670A" w:rsidR="002B3BDF" w:rsidRPr="00B84F4E" w:rsidRDefault="002B3BDF" w:rsidP="002B3BDF">
            <w:pPr>
              <w:tabs>
                <w:tab w:val="center" w:pos="4702"/>
              </w:tabs>
              <w:spacing w:before="120" w:after="120"/>
              <w:jc w:val="both"/>
              <w:rPr>
                <w:color w:val="000000" w:themeColor="text1"/>
                <w:sz w:val="28"/>
                <w:szCs w:val="28"/>
              </w:rPr>
            </w:pPr>
            <w:r w:rsidRPr="008E26CA">
              <w:rPr>
                <w:b/>
                <w:color w:val="000000" w:themeColor="text1"/>
                <w:sz w:val="28"/>
                <w:szCs w:val="28"/>
              </w:rPr>
              <w:t>1.</w:t>
            </w:r>
            <w:r w:rsidRPr="00B84F4E">
              <w:rPr>
                <w:color w:val="000000" w:themeColor="text1"/>
                <w:sz w:val="28"/>
                <w:szCs w:val="28"/>
              </w:rPr>
              <w:t xml:space="preserve"> Thực hiện theo mẫu số 12 của Nghị định số 187/2025/NĐ-CP ngày 01 tháng 7 năm 2025 của </w:t>
            </w:r>
            <w:r w:rsidR="004437A7">
              <w:rPr>
                <w:color w:val="000000" w:themeColor="text1"/>
                <w:sz w:val="28"/>
                <w:szCs w:val="28"/>
              </w:rPr>
              <w:t>Chính phủ</w:t>
            </w:r>
            <w:r w:rsidRPr="00B84F4E">
              <w:rPr>
                <w:color w:val="000000" w:themeColor="text1"/>
                <w:sz w:val="28"/>
                <w:szCs w:val="28"/>
              </w:rPr>
              <w:t xml:space="preserve"> về sửa đổi, bổ sung một số điều Nghị định số 78/2025/NĐ-CP ngày 01 tháng 4 năm 2025 của </w:t>
            </w:r>
            <w:r w:rsidR="004437A7">
              <w:rPr>
                <w:color w:val="000000" w:themeColor="text1"/>
                <w:sz w:val="28"/>
                <w:szCs w:val="28"/>
              </w:rPr>
              <w:t>Chính phủ</w:t>
            </w:r>
            <w:r w:rsidRPr="00B84F4E">
              <w:rPr>
                <w:color w:val="000000" w:themeColor="text1"/>
                <w:sz w:val="28"/>
                <w:szCs w:val="28"/>
              </w:rPr>
              <w:t xml:space="preserve"> quy định chi tiết một số điều và biện pháp để tổ chức, hướng dẫn thi hành Luật Ban hanh văn bản quy phạm pháp luật và Nghị định số 79/2025/NĐ-CP ngày 01 tháng 4 năm 2025 của </w:t>
            </w:r>
            <w:r w:rsidR="004437A7">
              <w:rPr>
                <w:color w:val="000000" w:themeColor="text1"/>
                <w:sz w:val="28"/>
                <w:szCs w:val="28"/>
              </w:rPr>
              <w:t>Chính phủ</w:t>
            </w:r>
            <w:r w:rsidRPr="00B84F4E">
              <w:rPr>
                <w:color w:val="000000" w:themeColor="text1"/>
                <w:sz w:val="28"/>
                <w:szCs w:val="28"/>
              </w:rPr>
              <w:t xml:space="preserve"> về kiểm tra, rà soát, hệ thống hóa và xử lý văn bản quy phạm pháp luật.</w:t>
            </w:r>
          </w:p>
          <w:p w14:paraId="01DC67F0" w14:textId="77777777" w:rsidR="002B3BDF" w:rsidRPr="008E26CA" w:rsidRDefault="002B3BDF" w:rsidP="002B3BDF">
            <w:pPr>
              <w:tabs>
                <w:tab w:val="center" w:pos="4702"/>
              </w:tabs>
              <w:spacing w:before="120" w:after="120"/>
              <w:jc w:val="both"/>
              <w:rPr>
                <w:b/>
                <w:color w:val="000000" w:themeColor="text1"/>
                <w:sz w:val="28"/>
                <w:szCs w:val="28"/>
              </w:rPr>
            </w:pPr>
            <w:r w:rsidRPr="008E26CA">
              <w:rPr>
                <w:b/>
                <w:color w:val="000000" w:themeColor="text1"/>
                <w:sz w:val="28"/>
                <w:szCs w:val="28"/>
              </w:rPr>
              <w:t>2. Nội dung cơ bản</w:t>
            </w:r>
          </w:p>
          <w:p w14:paraId="7F8C0E64" w14:textId="284C2C84" w:rsidR="002B3BDF" w:rsidRPr="00B84F4E" w:rsidRDefault="00AF7D90" w:rsidP="002B3BDF">
            <w:pPr>
              <w:tabs>
                <w:tab w:val="center" w:pos="4702"/>
              </w:tabs>
              <w:spacing w:before="120" w:after="120"/>
              <w:jc w:val="both"/>
              <w:rPr>
                <w:color w:val="000000" w:themeColor="text1"/>
                <w:sz w:val="28"/>
                <w:szCs w:val="28"/>
              </w:rPr>
            </w:pPr>
            <w:r w:rsidRPr="00B84F4E">
              <w:rPr>
                <w:sz w:val="28"/>
                <w:szCs w:val="28"/>
              </w:rPr>
              <w:t xml:space="preserve">Quy định chế độ hỗ trợ kinh phí đối với những người tham gia trực tiếp </w:t>
            </w:r>
            <w:r w:rsidRPr="00B84F4E">
              <w:rPr>
                <w:sz w:val="28"/>
                <w:szCs w:val="28"/>
                <w:lang w:val="vi-VN"/>
              </w:rPr>
              <w:t>công tác giải quyết</w:t>
            </w:r>
            <w:r w:rsidRPr="00B84F4E">
              <w:rPr>
                <w:sz w:val="28"/>
                <w:szCs w:val="28"/>
              </w:rPr>
              <w:t xml:space="preserve"> tố giác, tin báo về tội phạm và kiến nghị khởi tố; điều tra, truy tố, xét xử vụ án hình sự trên địa bàn tỉnh Đồng Nai giai đoạn 2025 - 2030.</w:t>
            </w:r>
          </w:p>
        </w:tc>
      </w:tr>
      <w:tr w:rsidR="002B3BDF" w:rsidRPr="00B84F4E" w14:paraId="7B72BD25" w14:textId="77777777" w:rsidTr="001951E2">
        <w:tc>
          <w:tcPr>
            <w:tcW w:w="2943" w:type="dxa"/>
          </w:tcPr>
          <w:p w14:paraId="19F808F6" w14:textId="77777777" w:rsidR="002B3BDF" w:rsidRPr="00B84F4E" w:rsidRDefault="004947B6" w:rsidP="002B3BDF">
            <w:pPr>
              <w:tabs>
                <w:tab w:val="center" w:pos="4702"/>
              </w:tabs>
              <w:spacing w:before="120" w:after="120"/>
              <w:jc w:val="both"/>
              <w:rPr>
                <w:b/>
                <w:color w:val="000000" w:themeColor="text1"/>
                <w:sz w:val="28"/>
                <w:szCs w:val="28"/>
              </w:rPr>
            </w:pPr>
            <w:r w:rsidRPr="00B84F4E">
              <w:rPr>
                <w:b/>
                <w:color w:val="000000" w:themeColor="text1"/>
                <w:sz w:val="28"/>
                <w:szCs w:val="28"/>
              </w:rPr>
              <w:t>Điều 2. Đối tượng áp dụng</w:t>
            </w:r>
          </w:p>
        </w:tc>
        <w:tc>
          <w:tcPr>
            <w:tcW w:w="11199" w:type="dxa"/>
          </w:tcPr>
          <w:p w14:paraId="5B7C8C8C" w14:textId="3B6A8DD1" w:rsidR="004947B6" w:rsidRPr="00B84F4E" w:rsidRDefault="004947B6" w:rsidP="004947B6">
            <w:pPr>
              <w:tabs>
                <w:tab w:val="center" w:pos="4702"/>
              </w:tabs>
              <w:spacing w:before="120" w:after="120"/>
              <w:jc w:val="both"/>
              <w:rPr>
                <w:color w:val="000000" w:themeColor="text1"/>
                <w:sz w:val="28"/>
                <w:szCs w:val="28"/>
              </w:rPr>
            </w:pPr>
            <w:r w:rsidRPr="008E26CA">
              <w:rPr>
                <w:b/>
                <w:color w:val="000000" w:themeColor="text1"/>
                <w:sz w:val="28"/>
                <w:szCs w:val="28"/>
              </w:rPr>
              <w:t>1.</w:t>
            </w:r>
            <w:r w:rsidRPr="00B84F4E">
              <w:rPr>
                <w:color w:val="000000" w:themeColor="text1"/>
                <w:sz w:val="28"/>
                <w:szCs w:val="28"/>
              </w:rPr>
              <w:t xml:space="preserve"> Thực hiện theo mẫu số 12 của Nghị định số 187/2025/NĐ-CP ngày 01 tháng 7 năm 2025 của </w:t>
            </w:r>
            <w:r w:rsidR="004437A7">
              <w:rPr>
                <w:color w:val="000000" w:themeColor="text1"/>
                <w:sz w:val="28"/>
                <w:szCs w:val="28"/>
              </w:rPr>
              <w:t>Chính phủ</w:t>
            </w:r>
            <w:r w:rsidRPr="00B84F4E">
              <w:rPr>
                <w:color w:val="000000" w:themeColor="text1"/>
                <w:sz w:val="28"/>
                <w:szCs w:val="28"/>
              </w:rPr>
              <w:t xml:space="preserve"> về sửa đổi, bổ sung một số điều Nghị định số 78/2025/NĐ-CP ngày 01 tháng 4 năm 2025 của </w:t>
            </w:r>
            <w:r w:rsidR="004437A7">
              <w:rPr>
                <w:color w:val="000000" w:themeColor="text1"/>
                <w:sz w:val="28"/>
                <w:szCs w:val="28"/>
              </w:rPr>
              <w:t>Chính phủ</w:t>
            </w:r>
            <w:r w:rsidRPr="00B84F4E">
              <w:rPr>
                <w:color w:val="000000" w:themeColor="text1"/>
                <w:sz w:val="28"/>
                <w:szCs w:val="28"/>
              </w:rPr>
              <w:t xml:space="preserve"> quy định chi tiết một số điều và biện pháp để tổ chức, hướng dẫn thi hành Luật Ban hanh văn bản quy phạm pháp luật và Nghị định số 79/2025/NĐ-CP ngày 01 tháng 4 năm 2025 của </w:t>
            </w:r>
            <w:r w:rsidR="004437A7">
              <w:rPr>
                <w:color w:val="000000" w:themeColor="text1"/>
                <w:sz w:val="28"/>
                <w:szCs w:val="28"/>
              </w:rPr>
              <w:t>Chính phủ</w:t>
            </w:r>
            <w:r w:rsidRPr="00B84F4E">
              <w:rPr>
                <w:color w:val="000000" w:themeColor="text1"/>
                <w:sz w:val="28"/>
                <w:szCs w:val="28"/>
              </w:rPr>
              <w:t xml:space="preserve"> về kiểm tra, rà soát, hệ thống hóa và xử lý văn </w:t>
            </w:r>
            <w:bookmarkStart w:id="0" w:name="_GoBack"/>
            <w:bookmarkEnd w:id="0"/>
            <w:r w:rsidRPr="00B84F4E">
              <w:rPr>
                <w:color w:val="000000" w:themeColor="text1"/>
                <w:sz w:val="28"/>
                <w:szCs w:val="28"/>
              </w:rPr>
              <w:t>bản quy phạm pháp luật.</w:t>
            </w:r>
          </w:p>
          <w:p w14:paraId="5428C621" w14:textId="77777777" w:rsidR="004947B6" w:rsidRPr="008E26CA" w:rsidRDefault="004947B6" w:rsidP="004947B6">
            <w:pPr>
              <w:tabs>
                <w:tab w:val="center" w:pos="4702"/>
              </w:tabs>
              <w:spacing w:before="120" w:after="120"/>
              <w:jc w:val="both"/>
              <w:rPr>
                <w:b/>
                <w:color w:val="000000" w:themeColor="text1"/>
                <w:sz w:val="28"/>
                <w:szCs w:val="28"/>
              </w:rPr>
            </w:pPr>
            <w:r w:rsidRPr="008E26CA">
              <w:rPr>
                <w:b/>
                <w:color w:val="000000" w:themeColor="text1"/>
                <w:sz w:val="28"/>
                <w:szCs w:val="28"/>
              </w:rPr>
              <w:lastRenderedPageBreak/>
              <w:t>2. Nội dung cơ bản</w:t>
            </w:r>
          </w:p>
          <w:p w14:paraId="7B6A1BA9" w14:textId="71F26C81" w:rsidR="00080B0A" w:rsidRPr="00B84F4E" w:rsidRDefault="008E26CA" w:rsidP="00080B0A">
            <w:pPr>
              <w:spacing w:before="120"/>
              <w:jc w:val="both"/>
              <w:rPr>
                <w:sz w:val="28"/>
                <w:szCs w:val="28"/>
              </w:rPr>
            </w:pPr>
            <w:r>
              <w:rPr>
                <w:sz w:val="28"/>
                <w:szCs w:val="28"/>
              </w:rPr>
              <w:t>2.</w:t>
            </w:r>
            <w:r w:rsidR="00080B0A" w:rsidRPr="00B84F4E">
              <w:rPr>
                <w:sz w:val="28"/>
                <w:szCs w:val="28"/>
              </w:rPr>
              <w:t>1. Những người tham gia trực tiếp công tác giải quyết tố giác, tin báo về tội phạm và kiến nghị khởi tố, bao gồm:</w:t>
            </w:r>
          </w:p>
          <w:p w14:paraId="30B42F90" w14:textId="77777777" w:rsidR="00080B0A" w:rsidRPr="00B84F4E" w:rsidRDefault="00080B0A" w:rsidP="00080B0A">
            <w:pPr>
              <w:spacing w:before="120"/>
              <w:jc w:val="both"/>
              <w:rPr>
                <w:sz w:val="28"/>
                <w:szCs w:val="28"/>
              </w:rPr>
            </w:pPr>
            <w:r w:rsidRPr="00B84F4E">
              <w:rPr>
                <w:sz w:val="28"/>
                <w:szCs w:val="28"/>
              </w:rPr>
              <w:t>a) Cơ quan điều tra: Thủ trưởng, Phó Thủ trưởng Cơ quan Cảnh sát điều tra, Thủ trưởng, Phó Thủ trưởng Cơ quan An ninh điều tra, Điều tra viên và Cán bộ điều tra.</w:t>
            </w:r>
          </w:p>
          <w:p w14:paraId="0B9162E2" w14:textId="77777777" w:rsidR="00080B0A" w:rsidRPr="00B84F4E" w:rsidRDefault="00080B0A" w:rsidP="00080B0A">
            <w:pPr>
              <w:spacing w:before="120"/>
              <w:jc w:val="both"/>
              <w:rPr>
                <w:sz w:val="28"/>
                <w:szCs w:val="28"/>
              </w:rPr>
            </w:pPr>
            <w:r w:rsidRPr="00B84F4E">
              <w:rPr>
                <w:sz w:val="28"/>
                <w:szCs w:val="28"/>
              </w:rPr>
              <w:t>b) Viện kiểm sát nhân dân: Viện trưởng, Phó Viện trưởng, Kiểm sát viên và Kiểm tra viên.</w:t>
            </w:r>
          </w:p>
          <w:p w14:paraId="638B3B16" w14:textId="6661189F" w:rsidR="00080B0A" w:rsidRPr="00B84F4E" w:rsidRDefault="008E26CA" w:rsidP="00080B0A">
            <w:pPr>
              <w:spacing w:before="120"/>
              <w:jc w:val="both"/>
              <w:rPr>
                <w:sz w:val="28"/>
                <w:szCs w:val="28"/>
              </w:rPr>
            </w:pPr>
            <w:r>
              <w:rPr>
                <w:sz w:val="28"/>
                <w:szCs w:val="28"/>
              </w:rPr>
              <w:t>2.</w:t>
            </w:r>
            <w:r w:rsidR="00080B0A" w:rsidRPr="00B84F4E">
              <w:rPr>
                <w:sz w:val="28"/>
                <w:szCs w:val="28"/>
              </w:rPr>
              <w:t>2. Những người tham gia trực tiếp công tác điều tra, truy tố, xét xử các vụ án hình sự, bao gồm:</w:t>
            </w:r>
          </w:p>
          <w:p w14:paraId="6F66A3AA" w14:textId="77777777" w:rsidR="00080B0A" w:rsidRPr="00B84F4E" w:rsidRDefault="00080B0A" w:rsidP="00080B0A">
            <w:pPr>
              <w:spacing w:before="120"/>
              <w:jc w:val="both"/>
              <w:rPr>
                <w:sz w:val="28"/>
                <w:szCs w:val="28"/>
              </w:rPr>
            </w:pPr>
            <w:r w:rsidRPr="00B84F4E">
              <w:rPr>
                <w:sz w:val="28"/>
                <w:szCs w:val="28"/>
              </w:rPr>
              <w:t>a) Cơ quan điều tra: Thủ trưởng, Phó Thủ trưởng Cơ quan Cảnh sát điều tra, Thủ trưởng, Phó Thủ trưởng Cơ quan An ninh điều tra, Điều tra viên và Cán bộ điều tra.</w:t>
            </w:r>
          </w:p>
          <w:p w14:paraId="4FA1A772" w14:textId="77777777" w:rsidR="00080B0A" w:rsidRPr="00B84F4E" w:rsidRDefault="00080B0A" w:rsidP="00080B0A">
            <w:pPr>
              <w:spacing w:before="120"/>
              <w:jc w:val="both"/>
              <w:rPr>
                <w:sz w:val="28"/>
                <w:szCs w:val="28"/>
              </w:rPr>
            </w:pPr>
            <w:r w:rsidRPr="00B84F4E">
              <w:rPr>
                <w:sz w:val="28"/>
                <w:szCs w:val="28"/>
              </w:rPr>
              <w:t>b) Viện kiểm sát nhân dân: Viện trưởng, Phó Viện trưởng, Kiểm sát viên và Kiểm tra viên.</w:t>
            </w:r>
          </w:p>
          <w:p w14:paraId="3B45AFB6" w14:textId="6462FE00" w:rsidR="002B3BDF" w:rsidRPr="00B84F4E" w:rsidRDefault="00080B0A" w:rsidP="00080B0A">
            <w:pPr>
              <w:spacing w:before="120"/>
              <w:jc w:val="both"/>
              <w:rPr>
                <w:sz w:val="28"/>
                <w:szCs w:val="28"/>
              </w:rPr>
            </w:pPr>
            <w:r w:rsidRPr="00B84F4E">
              <w:rPr>
                <w:sz w:val="28"/>
                <w:szCs w:val="28"/>
              </w:rPr>
              <w:t>c) Tòa án nhân dân: Thẩm phán, Hội Thẩm và Thư ký.</w:t>
            </w:r>
          </w:p>
        </w:tc>
      </w:tr>
      <w:tr w:rsidR="004947B6" w:rsidRPr="00B84F4E" w14:paraId="2181F67B" w14:textId="77777777" w:rsidTr="001951E2">
        <w:tc>
          <w:tcPr>
            <w:tcW w:w="2943" w:type="dxa"/>
          </w:tcPr>
          <w:p w14:paraId="7BCF2116" w14:textId="65B7CCAA" w:rsidR="004947B6" w:rsidRPr="00B84F4E" w:rsidRDefault="00D1095C" w:rsidP="002B3BDF">
            <w:pPr>
              <w:tabs>
                <w:tab w:val="center" w:pos="4702"/>
              </w:tabs>
              <w:spacing w:before="120" w:after="120"/>
              <w:jc w:val="both"/>
              <w:rPr>
                <w:b/>
                <w:color w:val="000000" w:themeColor="text1"/>
                <w:sz w:val="28"/>
                <w:szCs w:val="28"/>
              </w:rPr>
            </w:pPr>
            <w:r w:rsidRPr="00B84F4E">
              <w:rPr>
                <w:rFonts w:eastAsia="Calibri"/>
                <w:b/>
                <w:color w:val="000000" w:themeColor="text1"/>
                <w:sz w:val="28"/>
                <w:szCs w:val="28"/>
                <w:lang w:val="sv-SE"/>
              </w:rPr>
              <w:lastRenderedPageBreak/>
              <w:t xml:space="preserve">Điều 3. </w:t>
            </w:r>
            <w:r w:rsidR="00080B0A" w:rsidRPr="00B84F4E">
              <w:rPr>
                <w:b/>
                <w:sz w:val="28"/>
                <w:szCs w:val="28"/>
              </w:rPr>
              <w:t>Nguyên tắc hỗ trợ</w:t>
            </w:r>
          </w:p>
        </w:tc>
        <w:tc>
          <w:tcPr>
            <w:tcW w:w="11199" w:type="dxa"/>
          </w:tcPr>
          <w:p w14:paraId="54353184" w14:textId="6ABCD599" w:rsidR="00B431E4" w:rsidRPr="00B84F4E" w:rsidRDefault="00B431E4" w:rsidP="00B431E4">
            <w:pPr>
              <w:tabs>
                <w:tab w:val="center" w:pos="4702"/>
              </w:tabs>
              <w:spacing w:before="120" w:after="120"/>
              <w:jc w:val="both"/>
              <w:rPr>
                <w:color w:val="000000" w:themeColor="text1"/>
                <w:sz w:val="28"/>
                <w:szCs w:val="28"/>
              </w:rPr>
            </w:pPr>
            <w:r w:rsidRPr="00B84F4E">
              <w:rPr>
                <w:b/>
                <w:color w:val="000000" w:themeColor="text1"/>
                <w:sz w:val="28"/>
                <w:szCs w:val="28"/>
              </w:rPr>
              <w:t>1.</w:t>
            </w:r>
            <w:r w:rsidRPr="00B84F4E">
              <w:rPr>
                <w:color w:val="000000" w:themeColor="text1"/>
                <w:sz w:val="28"/>
                <w:szCs w:val="28"/>
              </w:rPr>
              <w:t xml:space="preserve"> Thực hiện theo mẫu số 12 của Nghị định số 187/2025/NĐ-CP ngày 01 tháng 7 năm 2025 của </w:t>
            </w:r>
            <w:r w:rsidR="004437A7">
              <w:rPr>
                <w:color w:val="000000" w:themeColor="text1"/>
                <w:sz w:val="28"/>
                <w:szCs w:val="28"/>
              </w:rPr>
              <w:t>Chính phủ</w:t>
            </w:r>
            <w:r w:rsidRPr="00B84F4E">
              <w:rPr>
                <w:color w:val="000000" w:themeColor="text1"/>
                <w:sz w:val="28"/>
                <w:szCs w:val="28"/>
              </w:rPr>
              <w:t xml:space="preserve"> về sửa đổi, bổ sung một số điều Nghị định số 78/2025/NĐ-CP ngày 01 tháng 4 năm 2025 của </w:t>
            </w:r>
            <w:r w:rsidR="004437A7">
              <w:rPr>
                <w:color w:val="000000" w:themeColor="text1"/>
                <w:sz w:val="28"/>
                <w:szCs w:val="28"/>
              </w:rPr>
              <w:t>Chính phủ</w:t>
            </w:r>
            <w:r w:rsidRPr="00B84F4E">
              <w:rPr>
                <w:color w:val="000000" w:themeColor="text1"/>
                <w:sz w:val="28"/>
                <w:szCs w:val="28"/>
              </w:rPr>
              <w:t xml:space="preserve"> quy định chi tiết một số điều và biện pháp để tổ chức, hướng dẫn thi hành Luật Ban hanh văn bản quy phạm pháp luật và Nghị định số 79/2025/NĐ-CP ngày 01 tháng 4 năm 2025 của </w:t>
            </w:r>
            <w:r w:rsidR="004437A7">
              <w:rPr>
                <w:color w:val="000000" w:themeColor="text1"/>
                <w:sz w:val="28"/>
                <w:szCs w:val="28"/>
              </w:rPr>
              <w:t>Chính phủ</w:t>
            </w:r>
            <w:r w:rsidRPr="00B84F4E">
              <w:rPr>
                <w:color w:val="000000" w:themeColor="text1"/>
                <w:sz w:val="28"/>
                <w:szCs w:val="28"/>
              </w:rPr>
              <w:t xml:space="preserve"> về kiểm tra, rà soát, hệ thống hóa và xử lý văn bản quy phạm pháp luật.</w:t>
            </w:r>
          </w:p>
          <w:p w14:paraId="17B97DC8" w14:textId="77777777" w:rsidR="00B431E4" w:rsidRPr="00B84F4E" w:rsidRDefault="00B431E4" w:rsidP="00B431E4">
            <w:pPr>
              <w:tabs>
                <w:tab w:val="center" w:pos="4702"/>
              </w:tabs>
              <w:spacing w:before="120" w:after="120"/>
              <w:jc w:val="both"/>
              <w:rPr>
                <w:b/>
                <w:color w:val="000000" w:themeColor="text1"/>
                <w:sz w:val="28"/>
                <w:szCs w:val="28"/>
              </w:rPr>
            </w:pPr>
            <w:r w:rsidRPr="00B84F4E">
              <w:rPr>
                <w:b/>
                <w:color w:val="000000" w:themeColor="text1"/>
                <w:sz w:val="28"/>
                <w:szCs w:val="28"/>
              </w:rPr>
              <w:t>2. Nội dung cơ bản</w:t>
            </w:r>
          </w:p>
          <w:p w14:paraId="169B504B" w14:textId="77777777" w:rsidR="002C1F76" w:rsidRPr="00B84F4E" w:rsidRDefault="002C1F76" w:rsidP="002C1F76">
            <w:pPr>
              <w:shd w:val="clear" w:color="auto" w:fill="FFFFFF"/>
              <w:tabs>
                <w:tab w:val="left" w:pos="706"/>
              </w:tabs>
              <w:spacing w:before="120"/>
              <w:jc w:val="both"/>
              <w:rPr>
                <w:spacing w:val="-4"/>
                <w:sz w:val="28"/>
                <w:szCs w:val="28"/>
              </w:rPr>
            </w:pPr>
            <w:r w:rsidRPr="00B84F4E">
              <w:rPr>
                <w:sz w:val="28"/>
                <w:szCs w:val="28"/>
              </w:rPr>
              <w:t>Nguyên tắc hỗ trợ</w:t>
            </w:r>
            <w:r w:rsidRPr="00B84F4E">
              <w:rPr>
                <w:b/>
                <w:sz w:val="28"/>
                <w:szCs w:val="28"/>
              </w:rPr>
              <w:t xml:space="preserve"> </w:t>
            </w:r>
            <w:r w:rsidRPr="00B84F4E">
              <w:rPr>
                <w:spacing w:val="-4"/>
                <w:sz w:val="28"/>
                <w:szCs w:val="28"/>
              </w:rPr>
              <w:t>được áp dụng dựa trên tính chất, khối lượng công việc, số lượng của từng loại chức danh tham gia tối thiểu trong từng vụ, như sau:</w:t>
            </w:r>
          </w:p>
          <w:p w14:paraId="5F641DF1" w14:textId="64DFB621" w:rsidR="002C1F76" w:rsidRPr="00B84F4E" w:rsidRDefault="008E26CA" w:rsidP="002C1F76">
            <w:pPr>
              <w:shd w:val="clear" w:color="auto" w:fill="FFFFFF"/>
              <w:tabs>
                <w:tab w:val="left" w:pos="706"/>
              </w:tabs>
              <w:spacing w:before="120"/>
              <w:jc w:val="both"/>
              <w:rPr>
                <w:spacing w:val="-4"/>
                <w:sz w:val="28"/>
                <w:szCs w:val="28"/>
              </w:rPr>
            </w:pPr>
            <w:r>
              <w:rPr>
                <w:spacing w:val="-4"/>
                <w:sz w:val="28"/>
                <w:szCs w:val="28"/>
              </w:rPr>
              <w:t>2.</w:t>
            </w:r>
            <w:r w:rsidR="002C1F76" w:rsidRPr="00B84F4E">
              <w:rPr>
                <w:spacing w:val="-4"/>
                <w:sz w:val="28"/>
                <w:szCs w:val="28"/>
              </w:rPr>
              <w:t>1. Cơ quan điều tra: Mức chi hỗ trợ do Thủ trưởng phân bổ, trong đó:</w:t>
            </w:r>
          </w:p>
          <w:p w14:paraId="1EDD9872" w14:textId="77777777" w:rsidR="002C1F76" w:rsidRPr="00B84F4E" w:rsidRDefault="002C1F76" w:rsidP="002C1F76">
            <w:pPr>
              <w:shd w:val="clear" w:color="auto" w:fill="FFFFFF"/>
              <w:tabs>
                <w:tab w:val="left" w:pos="706"/>
              </w:tabs>
              <w:spacing w:before="120"/>
              <w:jc w:val="both"/>
              <w:rPr>
                <w:spacing w:val="-4"/>
                <w:sz w:val="28"/>
                <w:szCs w:val="28"/>
              </w:rPr>
            </w:pPr>
            <w:r w:rsidRPr="00B84F4E">
              <w:rPr>
                <w:spacing w:val="-4"/>
                <w:sz w:val="28"/>
                <w:szCs w:val="28"/>
              </w:rPr>
              <w:t>a) Mức chi cho tổng hai chức danh Thủ trưởng và Phó Thủ trưởng là 30% số tiền được chi hỗ trợ.</w:t>
            </w:r>
          </w:p>
          <w:p w14:paraId="362E047D" w14:textId="77777777" w:rsidR="002C1F76" w:rsidRPr="00B84F4E" w:rsidRDefault="002C1F76" w:rsidP="002C1F76">
            <w:pPr>
              <w:shd w:val="clear" w:color="auto" w:fill="FFFFFF"/>
              <w:tabs>
                <w:tab w:val="left" w:pos="706"/>
              </w:tabs>
              <w:spacing w:before="120"/>
              <w:jc w:val="both"/>
              <w:rPr>
                <w:spacing w:val="-4"/>
                <w:sz w:val="28"/>
                <w:szCs w:val="28"/>
              </w:rPr>
            </w:pPr>
            <w:r w:rsidRPr="00B84F4E">
              <w:rPr>
                <w:spacing w:val="-4"/>
                <w:sz w:val="28"/>
                <w:szCs w:val="28"/>
              </w:rPr>
              <w:t>b) Mức chi cho tổng hai chức danh Điều tra viên và Cán bộ điều tra là 70% mức chi được hỗ trợ.</w:t>
            </w:r>
          </w:p>
          <w:p w14:paraId="1E6EF64B" w14:textId="590C46EC" w:rsidR="002C1F76" w:rsidRPr="00B84F4E" w:rsidRDefault="008E26CA" w:rsidP="002C1F76">
            <w:pPr>
              <w:shd w:val="clear" w:color="auto" w:fill="FFFFFF"/>
              <w:tabs>
                <w:tab w:val="left" w:pos="706"/>
              </w:tabs>
              <w:spacing w:before="120"/>
              <w:jc w:val="both"/>
              <w:rPr>
                <w:spacing w:val="-4"/>
                <w:sz w:val="28"/>
                <w:szCs w:val="28"/>
              </w:rPr>
            </w:pPr>
            <w:r>
              <w:rPr>
                <w:spacing w:val="-4"/>
                <w:sz w:val="28"/>
                <w:szCs w:val="28"/>
              </w:rPr>
              <w:t>2.</w:t>
            </w:r>
            <w:r w:rsidR="002C1F76" w:rsidRPr="00B84F4E">
              <w:rPr>
                <w:spacing w:val="-4"/>
                <w:sz w:val="28"/>
                <w:szCs w:val="28"/>
              </w:rPr>
              <w:t>2. Viện Kiểm sát nhân dân: Mức chi hỗ trợ do Viện trưởng phân bổ, trong đó:</w:t>
            </w:r>
          </w:p>
          <w:p w14:paraId="21EB6EA5" w14:textId="77777777" w:rsidR="002C1F76" w:rsidRPr="00B84F4E" w:rsidRDefault="002C1F76" w:rsidP="002C1F76">
            <w:pPr>
              <w:shd w:val="clear" w:color="auto" w:fill="FFFFFF"/>
              <w:tabs>
                <w:tab w:val="left" w:pos="706"/>
              </w:tabs>
              <w:spacing w:before="120"/>
              <w:jc w:val="both"/>
              <w:rPr>
                <w:spacing w:val="-4"/>
                <w:sz w:val="28"/>
                <w:szCs w:val="28"/>
              </w:rPr>
            </w:pPr>
            <w:r w:rsidRPr="00B84F4E">
              <w:rPr>
                <w:spacing w:val="-4"/>
                <w:sz w:val="28"/>
                <w:szCs w:val="28"/>
              </w:rPr>
              <w:lastRenderedPageBreak/>
              <w:t>a) Mức chi hỗ trợ cho tổng hai chức danh Viện trưởng và Phó Viện trưởng là  30% số tiền được chi hỗ trợ.</w:t>
            </w:r>
          </w:p>
          <w:p w14:paraId="600069C9" w14:textId="77777777" w:rsidR="002C1F76" w:rsidRPr="00B84F4E" w:rsidRDefault="002C1F76" w:rsidP="002C1F76">
            <w:pPr>
              <w:shd w:val="clear" w:color="auto" w:fill="FFFFFF"/>
              <w:tabs>
                <w:tab w:val="left" w:pos="706"/>
              </w:tabs>
              <w:spacing w:before="120"/>
              <w:jc w:val="both"/>
              <w:rPr>
                <w:spacing w:val="-4"/>
                <w:sz w:val="28"/>
                <w:szCs w:val="28"/>
              </w:rPr>
            </w:pPr>
            <w:r w:rsidRPr="00B84F4E">
              <w:rPr>
                <w:spacing w:val="-4"/>
                <w:sz w:val="28"/>
                <w:szCs w:val="28"/>
              </w:rPr>
              <w:t>b) Mức chi hỗ trợ cho tổng hai chức danh Kiểm sát viên, Kiểm tra viên là 70% số tiền được chi hỗ trợ.</w:t>
            </w:r>
          </w:p>
          <w:p w14:paraId="0AE7268E" w14:textId="4E8AD4B6" w:rsidR="002C1F76" w:rsidRPr="00B84F4E" w:rsidRDefault="008E26CA" w:rsidP="002C1F76">
            <w:pPr>
              <w:shd w:val="clear" w:color="auto" w:fill="FFFFFF"/>
              <w:tabs>
                <w:tab w:val="left" w:pos="706"/>
              </w:tabs>
              <w:spacing w:before="120"/>
              <w:jc w:val="both"/>
              <w:rPr>
                <w:spacing w:val="-4"/>
                <w:sz w:val="28"/>
                <w:szCs w:val="28"/>
              </w:rPr>
            </w:pPr>
            <w:r>
              <w:rPr>
                <w:spacing w:val="-4"/>
                <w:sz w:val="28"/>
                <w:szCs w:val="28"/>
              </w:rPr>
              <w:t>2.</w:t>
            </w:r>
            <w:r w:rsidR="002C1F76" w:rsidRPr="00B84F4E">
              <w:rPr>
                <w:spacing w:val="-4"/>
                <w:sz w:val="28"/>
                <w:szCs w:val="28"/>
              </w:rPr>
              <w:t>3. Tòa án nhân dân: Mức chi hỗ trợ do Thẩm phán phân bổ, trong đó:</w:t>
            </w:r>
          </w:p>
          <w:p w14:paraId="60BEC397" w14:textId="77777777" w:rsidR="002C1F76" w:rsidRPr="00B84F4E" w:rsidRDefault="002C1F76" w:rsidP="002C1F76">
            <w:pPr>
              <w:shd w:val="clear" w:color="auto" w:fill="FFFFFF"/>
              <w:tabs>
                <w:tab w:val="left" w:pos="706"/>
              </w:tabs>
              <w:spacing w:before="120"/>
              <w:jc w:val="both"/>
              <w:rPr>
                <w:spacing w:val="-4"/>
                <w:sz w:val="28"/>
                <w:szCs w:val="28"/>
              </w:rPr>
            </w:pPr>
            <w:r w:rsidRPr="00B84F4E">
              <w:rPr>
                <w:spacing w:val="-4"/>
                <w:sz w:val="28"/>
                <w:szCs w:val="28"/>
              </w:rPr>
              <w:t>a) Mức chi hỗ trợ đối với Thẩm phán là 70% số tiền được chi hỗ trợ.</w:t>
            </w:r>
          </w:p>
          <w:p w14:paraId="1272F3C6" w14:textId="77777777" w:rsidR="002C1F76" w:rsidRPr="00B84F4E" w:rsidRDefault="002C1F76" w:rsidP="002C1F76">
            <w:pPr>
              <w:tabs>
                <w:tab w:val="left" w:pos="706"/>
                <w:tab w:val="center" w:pos="4702"/>
              </w:tabs>
              <w:spacing w:before="120" w:after="120"/>
              <w:jc w:val="both"/>
              <w:rPr>
                <w:spacing w:val="-4"/>
                <w:sz w:val="28"/>
                <w:szCs w:val="28"/>
              </w:rPr>
            </w:pPr>
            <w:r w:rsidRPr="00B84F4E">
              <w:rPr>
                <w:spacing w:val="-4"/>
                <w:sz w:val="28"/>
                <w:szCs w:val="28"/>
              </w:rPr>
              <w:t>b) Mức chi hỗ trợ đối với tổng hai chức danh Hội thẩm và Thư ký là 30% số tiền được chi hỗ trợ.</w:t>
            </w:r>
          </w:p>
          <w:p w14:paraId="6F22B4E0" w14:textId="790429C3" w:rsidR="004947B6" w:rsidRPr="00B84F4E" w:rsidRDefault="00207AB5" w:rsidP="002C1F76">
            <w:pPr>
              <w:tabs>
                <w:tab w:val="center" w:pos="4702"/>
              </w:tabs>
              <w:spacing w:before="120" w:after="120"/>
              <w:jc w:val="both"/>
              <w:rPr>
                <w:color w:val="FF0000"/>
                <w:sz w:val="28"/>
                <w:szCs w:val="28"/>
              </w:rPr>
            </w:pPr>
            <w:r w:rsidRPr="00B84F4E">
              <w:rPr>
                <w:rFonts w:eastAsia="Calibri"/>
                <w:b/>
                <w:i/>
                <w:color w:val="000000" w:themeColor="text1"/>
                <w:spacing w:val="4"/>
                <w:sz w:val="28"/>
                <w:szCs w:val="28"/>
                <w:lang w:val="sv-SE"/>
              </w:rPr>
              <w:t xml:space="preserve">Nội dung thuyết minh: </w:t>
            </w:r>
            <w:r w:rsidR="00870B81" w:rsidRPr="00B84F4E">
              <w:rPr>
                <w:rFonts w:eastAsia="Calibri"/>
                <w:i/>
                <w:color w:val="000000" w:themeColor="text1"/>
                <w:spacing w:val="4"/>
                <w:sz w:val="28"/>
                <w:szCs w:val="28"/>
                <w:lang w:val="sv-SE"/>
              </w:rPr>
              <w:t>Nội dung dự thảo quy định như trên đượ</w:t>
            </w:r>
            <w:r w:rsidR="000237E0" w:rsidRPr="00B84F4E">
              <w:rPr>
                <w:rFonts w:eastAsia="Calibri"/>
                <w:i/>
                <w:color w:val="000000" w:themeColor="text1"/>
                <w:spacing w:val="4"/>
                <w:sz w:val="28"/>
                <w:szCs w:val="28"/>
                <w:lang w:val="sv-SE"/>
              </w:rPr>
              <w:t>c k</w:t>
            </w:r>
            <w:r w:rsidR="00870B81" w:rsidRPr="00B84F4E">
              <w:rPr>
                <w:rFonts w:eastAsia="Calibri"/>
                <w:i/>
                <w:color w:val="000000" w:themeColor="text1"/>
                <w:spacing w:val="4"/>
                <w:sz w:val="28"/>
                <w:szCs w:val="28"/>
                <w:lang w:val="sv-SE"/>
              </w:rPr>
              <w:t xml:space="preserve">ế thừa </w:t>
            </w:r>
            <w:r w:rsidR="004172E8" w:rsidRPr="00B84F4E">
              <w:rPr>
                <w:rFonts w:eastAsia="Calibri"/>
                <w:i/>
                <w:color w:val="000000" w:themeColor="text1"/>
                <w:spacing w:val="4"/>
                <w:sz w:val="28"/>
                <w:szCs w:val="28"/>
                <w:lang w:val="sv-SE"/>
              </w:rPr>
              <w:t xml:space="preserve">từ </w:t>
            </w:r>
            <w:r w:rsidR="00870B81" w:rsidRPr="00B84F4E">
              <w:rPr>
                <w:rFonts w:eastAsia="Calibri"/>
                <w:i/>
                <w:color w:val="000000" w:themeColor="text1"/>
                <w:spacing w:val="4"/>
                <w:sz w:val="28"/>
                <w:szCs w:val="28"/>
                <w:lang w:val="sv-SE"/>
              </w:rPr>
              <w:t>Nghị quyết số</w:t>
            </w:r>
            <w:r w:rsidR="002C1F76" w:rsidRPr="00B84F4E">
              <w:rPr>
                <w:rFonts w:eastAsia="Calibri"/>
                <w:i/>
                <w:color w:val="000000" w:themeColor="text1"/>
                <w:spacing w:val="4"/>
                <w:sz w:val="28"/>
                <w:szCs w:val="28"/>
                <w:lang w:val="sv-SE"/>
              </w:rPr>
              <w:t xml:space="preserve"> 42</w:t>
            </w:r>
            <w:r w:rsidR="00870B81" w:rsidRPr="00B84F4E">
              <w:rPr>
                <w:rFonts w:eastAsia="Calibri"/>
                <w:i/>
                <w:color w:val="000000" w:themeColor="text1"/>
                <w:spacing w:val="4"/>
                <w:sz w:val="28"/>
                <w:szCs w:val="28"/>
                <w:lang w:val="sv-SE"/>
              </w:rPr>
              <w:t xml:space="preserve"> của HĐND tỉnh Đồng Nai</w:t>
            </w:r>
            <w:r w:rsidR="004172E8" w:rsidRPr="00B84F4E">
              <w:rPr>
                <w:rFonts w:eastAsia="Calibri"/>
                <w:i/>
                <w:color w:val="000000" w:themeColor="text1"/>
                <w:spacing w:val="4"/>
                <w:sz w:val="28"/>
                <w:szCs w:val="28"/>
                <w:lang w:val="sv-SE"/>
              </w:rPr>
              <w:t xml:space="preserve"> (cũ)</w:t>
            </w:r>
            <w:r w:rsidR="002C1F76" w:rsidRPr="00B84F4E">
              <w:rPr>
                <w:rFonts w:eastAsia="Calibri"/>
                <w:i/>
                <w:color w:val="000000" w:themeColor="text1"/>
                <w:spacing w:val="4"/>
                <w:sz w:val="28"/>
                <w:szCs w:val="28"/>
                <w:lang w:val="sv-SE"/>
              </w:rPr>
              <w:t>.</w:t>
            </w:r>
          </w:p>
        </w:tc>
      </w:tr>
      <w:tr w:rsidR="00207AB5" w:rsidRPr="00B84F4E" w14:paraId="49A51A41" w14:textId="77777777" w:rsidTr="001951E2">
        <w:tc>
          <w:tcPr>
            <w:tcW w:w="2943" w:type="dxa"/>
          </w:tcPr>
          <w:p w14:paraId="11D97EF7" w14:textId="0E12F1DD" w:rsidR="00207AB5" w:rsidRPr="00B84F4E" w:rsidRDefault="00E927B9" w:rsidP="002C1F76">
            <w:pPr>
              <w:tabs>
                <w:tab w:val="center" w:pos="4702"/>
              </w:tabs>
              <w:spacing w:before="120" w:after="120"/>
              <w:jc w:val="both"/>
              <w:rPr>
                <w:rFonts w:eastAsia="Calibri"/>
                <w:b/>
                <w:color w:val="000000" w:themeColor="text1"/>
                <w:sz w:val="28"/>
                <w:szCs w:val="28"/>
                <w:lang w:val="sv-SE"/>
              </w:rPr>
            </w:pPr>
            <w:r w:rsidRPr="00B84F4E">
              <w:rPr>
                <w:rFonts w:eastAsia="Calibri"/>
                <w:b/>
                <w:color w:val="000000" w:themeColor="text1"/>
                <w:sz w:val="28"/>
                <w:szCs w:val="28"/>
                <w:lang w:val="sv-SE"/>
              </w:rPr>
              <w:lastRenderedPageBreak/>
              <w:t xml:space="preserve">Điều 4. </w:t>
            </w:r>
            <w:r w:rsidR="002C1F76" w:rsidRPr="00B84F4E">
              <w:rPr>
                <w:b/>
                <w:sz w:val="28"/>
                <w:szCs w:val="28"/>
              </w:rPr>
              <w:t xml:space="preserve">Mức hỗ trợ </w:t>
            </w:r>
          </w:p>
        </w:tc>
        <w:tc>
          <w:tcPr>
            <w:tcW w:w="11199" w:type="dxa"/>
          </w:tcPr>
          <w:p w14:paraId="5FE878A2" w14:textId="76704338" w:rsidR="00E927B9" w:rsidRPr="00B84F4E" w:rsidRDefault="00E927B9" w:rsidP="00E927B9">
            <w:pPr>
              <w:tabs>
                <w:tab w:val="center" w:pos="4702"/>
              </w:tabs>
              <w:spacing w:before="120" w:after="120"/>
              <w:jc w:val="both"/>
              <w:rPr>
                <w:color w:val="000000" w:themeColor="text1"/>
                <w:sz w:val="28"/>
                <w:szCs w:val="28"/>
              </w:rPr>
            </w:pPr>
            <w:r w:rsidRPr="00B84F4E">
              <w:rPr>
                <w:b/>
                <w:color w:val="000000" w:themeColor="text1"/>
                <w:sz w:val="28"/>
                <w:szCs w:val="28"/>
              </w:rPr>
              <w:t>1.</w:t>
            </w:r>
            <w:r w:rsidRPr="00B84F4E">
              <w:rPr>
                <w:color w:val="000000" w:themeColor="text1"/>
                <w:sz w:val="28"/>
                <w:szCs w:val="28"/>
              </w:rPr>
              <w:t xml:space="preserve"> Thực hiện theo mẫu số 12 của Nghị định số 187/2025/NĐ-CP ngày 01 tháng 7 năm 2025 của </w:t>
            </w:r>
            <w:r w:rsidR="004437A7">
              <w:rPr>
                <w:color w:val="000000" w:themeColor="text1"/>
                <w:sz w:val="28"/>
                <w:szCs w:val="28"/>
              </w:rPr>
              <w:t>Chính phủ</w:t>
            </w:r>
            <w:r w:rsidRPr="00B84F4E">
              <w:rPr>
                <w:color w:val="000000" w:themeColor="text1"/>
                <w:sz w:val="28"/>
                <w:szCs w:val="28"/>
              </w:rPr>
              <w:t xml:space="preserve"> về sửa đổi, bổ sung một số điều Nghị định số 78/2025/NĐ-CP ngày 01 tháng 4 năm 2025 của </w:t>
            </w:r>
            <w:r w:rsidR="004437A7">
              <w:rPr>
                <w:color w:val="000000" w:themeColor="text1"/>
                <w:sz w:val="28"/>
                <w:szCs w:val="28"/>
              </w:rPr>
              <w:t>Chính phủ</w:t>
            </w:r>
            <w:r w:rsidRPr="00B84F4E">
              <w:rPr>
                <w:color w:val="000000" w:themeColor="text1"/>
                <w:sz w:val="28"/>
                <w:szCs w:val="28"/>
              </w:rPr>
              <w:t xml:space="preserve"> quy định chi tiết một số điều và biện pháp để tổ chức, hướng dẫn thi hành Luật Ban hanh văn bản quy phạm pháp luật và Nghị định số 79/2025/NĐ-CP ngày 01 tháng 4 năm 2025 của </w:t>
            </w:r>
            <w:r w:rsidR="004437A7">
              <w:rPr>
                <w:color w:val="000000" w:themeColor="text1"/>
                <w:sz w:val="28"/>
                <w:szCs w:val="28"/>
              </w:rPr>
              <w:t>Chính phủ</w:t>
            </w:r>
            <w:r w:rsidRPr="00B84F4E">
              <w:rPr>
                <w:color w:val="000000" w:themeColor="text1"/>
                <w:sz w:val="28"/>
                <w:szCs w:val="28"/>
              </w:rPr>
              <w:t xml:space="preserve"> về kiểm tra, rà soát, hệ thống hóa và xử lý văn bản quy phạm pháp luật.</w:t>
            </w:r>
          </w:p>
          <w:p w14:paraId="7468D3D0" w14:textId="77777777" w:rsidR="00E927B9" w:rsidRPr="00B84F4E" w:rsidRDefault="00E927B9" w:rsidP="00E927B9">
            <w:pPr>
              <w:tabs>
                <w:tab w:val="center" w:pos="4702"/>
              </w:tabs>
              <w:spacing w:before="120" w:after="120"/>
              <w:jc w:val="both"/>
              <w:rPr>
                <w:b/>
                <w:color w:val="000000" w:themeColor="text1"/>
                <w:sz w:val="28"/>
                <w:szCs w:val="28"/>
              </w:rPr>
            </w:pPr>
            <w:r w:rsidRPr="00B84F4E">
              <w:rPr>
                <w:b/>
                <w:color w:val="000000" w:themeColor="text1"/>
                <w:sz w:val="28"/>
                <w:szCs w:val="28"/>
              </w:rPr>
              <w:t>2. Nội dung cơ bản</w:t>
            </w:r>
          </w:p>
          <w:p w14:paraId="4E3C8504" w14:textId="77777777" w:rsidR="000E738A" w:rsidRPr="00B84F4E" w:rsidRDefault="000E738A" w:rsidP="000E738A">
            <w:pPr>
              <w:spacing w:before="120"/>
              <w:jc w:val="both"/>
              <w:rPr>
                <w:sz w:val="28"/>
                <w:szCs w:val="28"/>
              </w:rPr>
            </w:pPr>
            <w:r w:rsidRPr="00B84F4E">
              <w:rPr>
                <w:spacing w:val="-4"/>
                <w:sz w:val="28"/>
                <w:szCs w:val="28"/>
              </w:rPr>
              <w:t xml:space="preserve">Mức hỗ trợ được áp dụng dựa trên phân loại tội phạm, tính chất, khối lượng công việc, số lượng người tham gia tối thiểu, thời gian giải quyết </w:t>
            </w:r>
            <w:r w:rsidRPr="00B84F4E">
              <w:rPr>
                <w:sz w:val="28"/>
                <w:szCs w:val="28"/>
              </w:rPr>
              <w:t>tố giác, tin báo về tội phạm và kiến nghị khởi tố</w:t>
            </w:r>
            <w:r w:rsidRPr="00B84F4E">
              <w:rPr>
                <w:sz w:val="28"/>
                <w:szCs w:val="28"/>
                <w:lang w:val="vi-VN"/>
              </w:rPr>
              <w:t>; điều tra, truy tố, xét xử các vụ án hình sự</w:t>
            </w:r>
            <w:r w:rsidRPr="00B84F4E">
              <w:rPr>
                <w:sz w:val="28"/>
                <w:szCs w:val="28"/>
              </w:rPr>
              <w:t xml:space="preserve"> của Cơ quan điều tra cấp tỉnh; Viện kiểm sát nhân dân, Tòa án nhân dân cấp tỉnh và khu vực như sau:</w:t>
            </w:r>
          </w:p>
          <w:p w14:paraId="02C7BEE7" w14:textId="6B26343D" w:rsidR="000E738A" w:rsidRPr="00B84F4E" w:rsidRDefault="00AB522A" w:rsidP="000E738A">
            <w:pPr>
              <w:spacing w:before="120"/>
              <w:jc w:val="both"/>
              <w:rPr>
                <w:spacing w:val="-4"/>
                <w:sz w:val="28"/>
                <w:szCs w:val="28"/>
              </w:rPr>
            </w:pPr>
            <w:r w:rsidRPr="00B84F4E">
              <w:rPr>
                <w:spacing w:val="-4"/>
                <w:sz w:val="28"/>
                <w:szCs w:val="28"/>
              </w:rPr>
              <w:t>2.</w:t>
            </w:r>
            <w:r w:rsidR="000E738A" w:rsidRPr="00B84F4E">
              <w:rPr>
                <w:spacing w:val="-4"/>
                <w:sz w:val="28"/>
                <w:szCs w:val="28"/>
              </w:rPr>
              <w:t>1. Hỗ trợ công tác giải quyết tố giác, tin báo về tội phạm và kiến nghị khởi tố</w:t>
            </w:r>
          </w:p>
          <w:p w14:paraId="43F34C3B" w14:textId="77777777" w:rsidR="000E738A" w:rsidRPr="00B84F4E" w:rsidRDefault="000E738A" w:rsidP="000E738A">
            <w:pPr>
              <w:pStyle w:val="Vnbnnidung0"/>
              <w:spacing w:before="120" w:after="0" w:line="240" w:lineRule="auto"/>
              <w:ind w:firstLine="0"/>
              <w:jc w:val="both"/>
              <w:rPr>
                <w:rFonts w:ascii="Times New Roman" w:hAnsi="Times New Roman" w:cs="Times New Roman"/>
                <w:b/>
                <w:color w:val="auto"/>
              </w:rPr>
            </w:pPr>
            <w:r w:rsidRPr="00B84F4E">
              <w:rPr>
                <w:rFonts w:ascii="Times New Roman" w:hAnsi="Times New Roman" w:cs="Times New Roman"/>
                <w:color w:val="auto"/>
                <w:spacing w:val="-4"/>
              </w:rPr>
              <w:t xml:space="preserve">- </w:t>
            </w:r>
            <w:r w:rsidRPr="00B84F4E">
              <w:rPr>
                <w:rFonts w:ascii="Times New Roman" w:hAnsi="Times New Roman" w:cs="Times New Roman"/>
                <w:color w:val="auto"/>
                <w:lang w:eastAsia="x-none"/>
              </w:rPr>
              <w:t xml:space="preserve">Cơ quan điều tra: Thụ lý đối với </w:t>
            </w:r>
            <w:r w:rsidRPr="00B84F4E">
              <w:rPr>
                <w:rFonts w:ascii="Times New Roman" w:hAnsi="Times New Roman" w:cs="Times New Roman"/>
                <w:color w:val="auto"/>
                <w:spacing w:val="-4"/>
              </w:rPr>
              <w:t xml:space="preserve">tin báo có dấu hiệu tội phạm rất nghiêm trọng, đặc biệt nghiêm trọng </w:t>
            </w:r>
            <w:r w:rsidRPr="00B84F4E">
              <w:rPr>
                <w:rFonts w:ascii="Times New Roman" w:hAnsi="Times New Roman" w:cs="Times New Roman"/>
                <w:color w:val="auto"/>
                <w:lang w:eastAsia="x-none"/>
              </w:rPr>
              <w:t>là</w:t>
            </w:r>
            <w:r w:rsidRPr="00B84F4E">
              <w:rPr>
                <w:rFonts w:ascii="Times New Roman" w:hAnsi="Times New Roman" w:cs="Times New Roman"/>
                <w:color w:val="auto"/>
              </w:rPr>
              <w:t xml:space="preserve"> 1.700.000 đồng/vụ; </w:t>
            </w:r>
            <w:r w:rsidRPr="00B84F4E">
              <w:rPr>
                <w:rFonts w:ascii="Times New Roman" w:hAnsi="Times New Roman" w:cs="Times New Roman"/>
                <w:color w:val="auto"/>
                <w:lang w:eastAsia="x-none"/>
              </w:rPr>
              <w:t xml:space="preserve">Thụ lý đối với </w:t>
            </w:r>
            <w:r w:rsidRPr="00B84F4E">
              <w:rPr>
                <w:rFonts w:ascii="Times New Roman" w:hAnsi="Times New Roman" w:cs="Times New Roman"/>
                <w:color w:val="auto"/>
                <w:spacing w:val="-4"/>
              </w:rPr>
              <w:t>tin báo có dấu hiệu tội phạm</w:t>
            </w:r>
            <w:r w:rsidRPr="00B84F4E">
              <w:rPr>
                <w:rFonts w:ascii="Times New Roman" w:hAnsi="Times New Roman" w:cs="Times New Roman"/>
                <w:color w:val="auto"/>
                <w:lang w:eastAsia="x-none"/>
              </w:rPr>
              <w:t xml:space="preserve"> </w:t>
            </w:r>
            <w:r w:rsidRPr="00B84F4E">
              <w:rPr>
                <w:rFonts w:ascii="Times New Roman" w:hAnsi="Times New Roman" w:cs="Times New Roman"/>
                <w:color w:val="auto"/>
                <w:spacing w:val="-4"/>
              </w:rPr>
              <w:t xml:space="preserve">nghiêm trọng, ít nghiêm trọng </w:t>
            </w:r>
            <w:r w:rsidRPr="00B84F4E">
              <w:rPr>
                <w:rFonts w:ascii="Times New Roman" w:hAnsi="Times New Roman" w:cs="Times New Roman"/>
                <w:color w:val="auto"/>
              </w:rPr>
              <w:t>là 900.000 đồng/vụ</w:t>
            </w:r>
            <w:r w:rsidRPr="00B84F4E">
              <w:rPr>
                <w:rFonts w:ascii="Times New Roman" w:hAnsi="Times New Roman" w:cs="Times New Roman"/>
                <w:color w:val="auto"/>
                <w:lang w:eastAsia="x-none"/>
              </w:rPr>
              <w:t>.</w:t>
            </w:r>
          </w:p>
          <w:p w14:paraId="67C042A2" w14:textId="77777777" w:rsidR="000E738A" w:rsidRPr="00B84F4E" w:rsidRDefault="000E738A" w:rsidP="000E738A">
            <w:pPr>
              <w:spacing w:before="120"/>
              <w:jc w:val="both"/>
              <w:rPr>
                <w:sz w:val="28"/>
                <w:szCs w:val="28"/>
              </w:rPr>
            </w:pPr>
            <w:r w:rsidRPr="00B84F4E">
              <w:rPr>
                <w:sz w:val="28"/>
                <w:szCs w:val="28"/>
                <w:lang w:eastAsia="x-none"/>
              </w:rPr>
              <w:t>- Viện Kiểm sát:</w:t>
            </w:r>
            <w:r w:rsidRPr="00B84F4E">
              <w:rPr>
                <w:sz w:val="28"/>
                <w:szCs w:val="28"/>
              </w:rPr>
              <w:t xml:space="preserve"> Viện kiểm sát nhân dân tỉnh thụ lý là 700.000 đồng/vụ; </w:t>
            </w:r>
            <w:r w:rsidRPr="00B84F4E">
              <w:rPr>
                <w:sz w:val="28"/>
                <w:szCs w:val="28"/>
                <w:lang w:eastAsia="x-none"/>
              </w:rPr>
              <w:t>Viện Kiểm sát khu vực thụ lý là:</w:t>
            </w:r>
            <w:r w:rsidRPr="00B84F4E">
              <w:rPr>
                <w:sz w:val="28"/>
                <w:szCs w:val="28"/>
              </w:rPr>
              <w:t xml:space="preserve"> 600.000 đồng/vụ.</w:t>
            </w:r>
          </w:p>
          <w:p w14:paraId="55C93178" w14:textId="4F17083B" w:rsidR="000E738A" w:rsidRPr="00B84F4E" w:rsidRDefault="00AB522A" w:rsidP="000E738A">
            <w:pPr>
              <w:spacing w:before="120"/>
              <w:jc w:val="both"/>
              <w:rPr>
                <w:spacing w:val="-4"/>
                <w:sz w:val="28"/>
                <w:szCs w:val="28"/>
              </w:rPr>
            </w:pPr>
            <w:r w:rsidRPr="00B84F4E">
              <w:rPr>
                <w:spacing w:val="-4"/>
                <w:sz w:val="28"/>
                <w:szCs w:val="28"/>
              </w:rPr>
              <w:lastRenderedPageBreak/>
              <w:t>2.</w:t>
            </w:r>
            <w:r w:rsidR="000E738A" w:rsidRPr="00B84F4E">
              <w:rPr>
                <w:spacing w:val="-4"/>
                <w:sz w:val="28"/>
                <w:szCs w:val="28"/>
              </w:rPr>
              <w:t>2. Hỗ trợ công tác điều tra, truy tố, xét xử vụ án hình sự</w:t>
            </w:r>
          </w:p>
          <w:p w14:paraId="227BA2A9" w14:textId="77777777" w:rsidR="000E738A" w:rsidRPr="00B84F4E" w:rsidRDefault="000E738A" w:rsidP="000E738A">
            <w:pPr>
              <w:spacing w:before="120"/>
              <w:jc w:val="both"/>
              <w:rPr>
                <w:sz w:val="28"/>
                <w:szCs w:val="28"/>
                <w:lang w:eastAsia="x-none"/>
              </w:rPr>
            </w:pPr>
            <w:r w:rsidRPr="00B84F4E">
              <w:rPr>
                <w:spacing w:val="-4"/>
                <w:sz w:val="28"/>
                <w:szCs w:val="28"/>
              </w:rPr>
              <w:t xml:space="preserve">- </w:t>
            </w:r>
            <w:r w:rsidRPr="00B84F4E">
              <w:rPr>
                <w:sz w:val="28"/>
                <w:szCs w:val="28"/>
                <w:lang w:eastAsia="x-none"/>
              </w:rPr>
              <w:t xml:space="preserve">Cơ quan điều tra: Thụ lý đối với </w:t>
            </w:r>
            <w:r w:rsidRPr="00B84F4E">
              <w:rPr>
                <w:spacing w:val="-4"/>
                <w:sz w:val="28"/>
                <w:szCs w:val="28"/>
              </w:rPr>
              <w:t>vụ án về tội phạm rất nghiêm trọng, đặc biệt nghiêm trọng</w:t>
            </w:r>
            <w:r w:rsidRPr="00B84F4E">
              <w:rPr>
                <w:sz w:val="28"/>
                <w:szCs w:val="28"/>
                <w:lang w:eastAsia="x-none"/>
              </w:rPr>
              <w:t xml:space="preserve"> là</w:t>
            </w:r>
            <w:r w:rsidRPr="00B84F4E">
              <w:rPr>
                <w:sz w:val="28"/>
                <w:szCs w:val="28"/>
              </w:rPr>
              <w:t xml:space="preserve"> 2.200.000 đồng/vụ; </w:t>
            </w:r>
            <w:r w:rsidRPr="00B84F4E">
              <w:rPr>
                <w:sz w:val="28"/>
                <w:szCs w:val="28"/>
                <w:lang w:eastAsia="x-none"/>
              </w:rPr>
              <w:t xml:space="preserve">Thụ lý đối với </w:t>
            </w:r>
            <w:r w:rsidRPr="00B84F4E">
              <w:rPr>
                <w:spacing w:val="-4"/>
                <w:sz w:val="28"/>
                <w:szCs w:val="28"/>
              </w:rPr>
              <w:t xml:space="preserve">vụ án về tội phạm nghiêm trọng, ít nghiêm trọng </w:t>
            </w:r>
            <w:r w:rsidRPr="00B84F4E">
              <w:rPr>
                <w:sz w:val="28"/>
                <w:szCs w:val="28"/>
              </w:rPr>
              <w:t>là 1.400.000 đồng/vụ</w:t>
            </w:r>
            <w:r w:rsidRPr="00B84F4E">
              <w:rPr>
                <w:sz w:val="28"/>
                <w:szCs w:val="28"/>
                <w:lang w:eastAsia="x-none"/>
              </w:rPr>
              <w:t>.</w:t>
            </w:r>
          </w:p>
          <w:p w14:paraId="7C1BED9B" w14:textId="77777777" w:rsidR="000E738A" w:rsidRPr="00B84F4E" w:rsidRDefault="000E738A" w:rsidP="000E738A">
            <w:pPr>
              <w:spacing w:before="120"/>
              <w:jc w:val="both"/>
              <w:rPr>
                <w:sz w:val="28"/>
                <w:szCs w:val="28"/>
              </w:rPr>
            </w:pPr>
            <w:r w:rsidRPr="00B84F4E">
              <w:rPr>
                <w:sz w:val="28"/>
                <w:szCs w:val="28"/>
                <w:lang w:eastAsia="x-none"/>
              </w:rPr>
              <w:t>- Viện Kiểm sát:</w:t>
            </w:r>
            <w:r w:rsidRPr="00B84F4E">
              <w:rPr>
                <w:sz w:val="28"/>
                <w:szCs w:val="28"/>
              </w:rPr>
              <w:t xml:space="preserve"> Viện kiểm sát nhân dân tỉnh thụ lý là 1.200.000 đồng/vụ; </w:t>
            </w:r>
            <w:r w:rsidRPr="00B84F4E">
              <w:rPr>
                <w:sz w:val="28"/>
                <w:szCs w:val="28"/>
                <w:lang w:eastAsia="x-none"/>
              </w:rPr>
              <w:t>Viện Kiểm sát khu vực thụ lý là:</w:t>
            </w:r>
            <w:r w:rsidRPr="00B84F4E">
              <w:rPr>
                <w:sz w:val="28"/>
                <w:szCs w:val="28"/>
              </w:rPr>
              <w:t xml:space="preserve"> 800.000 đồng/vụ.</w:t>
            </w:r>
          </w:p>
          <w:p w14:paraId="567746B2" w14:textId="77777777" w:rsidR="000E738A" w:rsidRPr="00B84F4E" w:rsidRDefault="000E738A" w:rsidP="000E738A">
            <w:pPr>
              <w:shd w:val="clear" w:color="auto" w:fill="FFFFFF"/>
              <w:spacing w:before="120"/>
              <w:jc w:val="both"/>
              <w:rPr>
                <w:sz w:val="28"/>
                <w:szCs w:val="28"/>
              </w:rPr>
            </w:pPr>
            <w:r w:rsidRPr="00B84F4E">
              <w:rPr>
                <w:sz w:val="28"/>
                <w:szCs w:val="28"/>
                <w:lang w:eastAsia="x-none"/>
              </w:rPr>
              <w:t xml:space="preserve">- </w:t>
            </w:r>
            <w:r w:rsidRPr="00B84F4E">
              <w:rPr>
                <w:sz w:val="28"/>
                <w:szCs w:val="28"/>
              </w:rPr>
              <w:t>Tòa án nhân dân</w:t>
            </w:r>
            <w:r w:rsidRPr="00B84F4E">
              <w:rPr>
                <w:sz w:val="28"/>
                <w:szCs w:val="28"/>
                <w:lang w:eastAsia="x-none"/>
              </w:rPr>
              <w:t>:</w:t>
            </w:r>
            <w:r w:rsidRPr="00B84F4E">
              <w:rPr>
                <w:sz w:val="28"/>
                <w:szCs w:val="28"/>
              </w:rPr>
              <w:t xml:space="preserve"> Tòa án nhân dân tỉnh thụ lý là 1.400.000 đồng/vụ; </w:t>
            </w:r>
            <w:r w:rsidRPr="00B84F4E">
              <w:rPr>
                <w:sz w:val="28"/>
                <w:szCs w:val="28"/>
                <w:lang w:eastAsia="x-none"/>
              </w:rPr>
              <w:t>Tòa án nhân dân khu vực thụ lý là:</w:t>
            </w:r>
            <w:r w:rsidRPr="00B84F4E">
              <w:rPr>
                <w:sz w:val="28"/>
                <w:szCs w:val="28"/>
              </w:rPr>
              <w:t xml:space="preserve"> 800.000 đồng/vụ.</w:t>
            </w:r>
          </w:p>
          <w:p w14:paraId="3ACC45F8" w14:textId="2DA33892" w:rsidR="00207AB5" w:rsidRPr="00B84F4E" w:rsidRDefault="002D5011" w:rsidP="00F13AB0">
            <w:pPr>
              <w:tabs>
                <w:tab w:val="center" w:pos="4702"/>
              </w:tabs>
              <w:spacing w:before="120" w:after="120"/>
              <w:jc w:val="both"/>
              <w:rPr>
                <w:i/>
                <w:color w:val="000000" w:themeColor="text1"/>
                <w:sz w:val="28"/>
                <w:szCs w:val="28"/>
              </w:rPr>
            </w:pPr>
            <w:r w:rsidRPr="00B84F4E">
              <w:rPr>
                <w:rFonts w:eastAsia="Calibri"/>
                <w:i/>
                <w:color w:val="000000" w:themeColor="text1"/>
                <w:sz w:val="28"/>
                <w:szCs w:val="28"/>
                <w:lang w:val="sv-SE"/>
              </w:rPr>
              <w:t>Mứ</w:t>
            </w:r>
            <w:r w:rsidR="00AB522A" w:rsidRPr="00B84F4E">
              <w:rPr>
                <w:rFonts w:eastAsia="Calibri"/>
                <w:i/>
                <w:color w:val="000000" w:themeColor="text1"/>
                <w:sz w:val="28"/>
                <w:szCs w:val="28"/>
                <w:lang w:val="sv-SE"/>
              </w:rPr>
              <w:t>c</w:t>
            </w:r>
            <w:r w:rsidRPr="00B84F4E">
              <w:rPr>
                <w:rFonts w:eastAsia="Calibri"/>
                <w:i/>
                <w:color w:val="000000" w:themeColor="text1"/>
                <w:sz w:val="28"/>
                <w:szCs w:val="28"/>
                <w:lang w:val="sv-SE"/>
              </w:rPr>
              <w:t xml:space="preserve"> hỗ trợ</w:t>
            </w:r>
            <w:r w:rsidR="000A43BD" w:rsidRPr="00B84F4E">
              <w:rPr>
                <w:rFonts w:eastAsia="Calibri"/>
                <w:i/>
                <w:color w:val="000000" w:themeColor="text1"/>
                <w:sz w:val="28"/>
                <w:szCs w:val="28"/>
                <w:lang w:val="sv-SE"/>
              </w:rPr>
              <w:t xml:space="preserve"> </w:t>
            </w:r>
            <w:r w:rsidRPr="00B84F4E">
              <w:rPr>
                <w:rFonts w:eastAsia="Calibri"/>
                <w:i/>
                <w:sz w:val="28"/>
                <w:szCs w:val="28"/>
                <w:lang w:val="sv-SE"/>
              </w:rPr>
              <w:t xml:space="preserve">tại dự thảo Nghị quyết mới được </w:t>
            </w:r>
            <w:r w:rsidR="000237E0" w:rsidRPr="00B84F4E">
              <w:rPr>
                <w:rFonts w:eastAsia="Calibri"/>
                <w:i/>
                <w:color w:val="000000" w:themeColor="text1"/>
                <w:spacing w:val="4"/>
                <w:sz w:val="28"/>
                <w:szCs w:val="28"/>
                <w:lang w:val="sv-SE"/>
              </w:rPr>
              <w:t>kế thừa từ Nghị quyết số 42 của HĐND tỉnh Đồng Nai (cũ). Đối với vụ án, tin báo</w:t>
            </w:r>
            <w:r w:rsidR="00AB522A" w:rsidRPr="00B84F4E">
              <w:rPr>
                <w:rFonts w:eastAsia="Calibri"/>
                <w:i/>
                <w:color w:val="000000" w:themeColor="text1"/>
                <w:spacing w:val="4"/>
                <w:sz w:val="28"/>
                <w:szCs w:val="28"/>
                <w:lang w:val="sv-SE"/>
              </w:rPr>
              <w:t xml:space="preserve"> </w:t>
            </w:r>
            <w:r w:rsidR="00AB522A" w:rsidRPr="00B84F4E">
              <w:rPr>
                <w:i/>
                <w:spacing w:val="-4"/>
                <w:sz w:val="28"/>
                <w:szCs w:val="28"/>
              </w:rPr>
              <w:t xml:space="preserve">có dấu hiệu </w:t>
            </w:r>
            <w:r w:rsidR="000237E0" w:rsidRPr="00B84F4E">
              <w:rPr>
                <w:i/>
                <w:spacing w:val="-4"/>
                <w:sz w:val="28"/>
                <w:szCs w:val="28"/>
              </w:rPr>
              <w:t xml:space="preserve">rất nghiêm trọng, đặc biệt nghiêm trọng </w:t>
            </w:r>
            <w:r w:rsidR="00F13AB0" w:rsidRPr="00B84F4E">
              <w:rPr>
                <w:i/>
                <w:spacing w:val="-4"/>
                <w:sz w:val="28"/>
                <w:szCs w:val="28"/>
              </w:rPr>
              <w:t xml:space="preserve">lúc trước do các đơn vị </w:t>
            </w:r>
            <w:r w:rsidR="009C7EAB" w:rsidRPr="00B84F4E">
              <w:rPr>
                <w:i/>
                <w:spacing w:val="-4"/>
                <w:sz w:val="28"/>
                <w:szCs w:val="28"/>
              </w:rPr>
              <w:t xml:space="preserve">cấp tỉnh thụ lý thì </w:t>
            </w:r>
            <w:r w:rsidR="00AB5E12" w:rsidRPr="00B84F4E">
              <w:rPr>
                <w:i/>
                <w:spacing w:val="-4"/>
                <w:sz w:val="28"/>
                <w:szCs w:val="28"/>
              </w:rPr>
              <w:t>tương ứng với</w:t>
            </w:r>
            <w:r w:rsidR="009C7EAB" w:rsidRPr="00B84F4E">
              <w:rPr>
                <w:i/>
                <w:spacing w:val="-4"/>
                <w:sz w:val="28"/>
                <w:szCs w:val="28"/>
              </w:rPr>
              <w:t xml:space="preserve"> mức hỗ trợ cấp tỉnh</w:t>
            </w:r>
            <w:r w:rsidR="00D92822" w:rsidRPr="00B84F4E">
              <w:rPr>
                <w:i/>
                <w:spacing w:val="-4"/>
                <w:sz w:val="28"/>
                <w:szCs w:val="28"/>
              </w:rPr>
              <w:t xml:space="preserve"> cũ</w:t>
            </w:r>
            <w:r w:rsidR="000237E0" w:rsidRPr="00B84F4E">
              <w:rPr>
                <w:i/>
                <w:sz w:val="28"/>
                <w:szCs w:val="28"/>
              </w:rPr>
              <w:t xml:space="preserve">; </w:t>
            </w:r>
            <w:r w:rsidR="00AB5E12" w:rsidRPr="00B84F4E">
              <w:rPr>
                <w:rFonts w:eastAsia="Calibri"/>
                <w:i/>
                <w:color w:val="000000" w:themeColor="text1"/>
                <w:spacing w:val="4"/>
                <w:sz w:val="28"/>
                <w:szCs w:val="28"/>
                <w:lang w:val="sv-SE"/>
              </w:rPr>
              <w:t xml:space="preserve">vụ án, tin báo </w:t>
            </w:r>
            <w:r w:rsidR="000237E0" w:rsidRPr="00B84F4E">
              <w:rPr>
                <w:i/>
                <w:spacing w:val="-4"/>
                <w:sz w:val="28"/>
                <w:szCs w:val="28"/>
              </w:rPr>
              <w:t>có dấu hiệu tội phạm</w:t>
            </w:r>
            <w:r w:rsidR="000237E0" w:rsidRPr="00B84F4E">
              <w:rPr>
                <w:i/>
                <w:sz w:val="28"/>
                <w:szCs w:val="28"/>
                <w:lang w:eastAsia="x-none"/>
              </w:rPr>
              <w:t xml:space="preserve"> </w:t>
            </w:r>
            <w:r w:rsidR="000237E0" w:rsidRPr="00B84F4E">
              <w:rPr>
                <w:i/>
                <w:spacing w:val="-4"/>
                <w:sz w:val="28"/>
                <w:szCs w:val="28"/>
              </w:rPr>
              <w:t>nghiêm trọng, ít nghiêm trọng</w:t>
            </w:r>
            <w:r w:rsidR="000237E0" w:rsidRPr="00B84F4E">
              <w:rPr>
                <w:spacing w:val="-4"/>
                <w:sz w:val="28"/>
                <w:szCs w:val="28"/>
              </w:rPr>
              <w:t xml:space="preserve"> </w:t>
            </w:r>
            <w:r w:rsidR="009C7EAB" w:rsidRPr="00B84F4E">
              <w:rPr>
                <w:i/>
                <w:spacing w:val="-4"/>
                <w:sz w:val="28"/>
                <w:szCs w:val="28"/>
              </w:rPr>
              <w:t xml:space="preserve">lúc trước do cấp huyện thụ lý thì </w:t>
            </w:r>
            <w:r w:rsidR="00F13AB0" w:rsidRPr="00B84F4E">
              <w:rPr>
                <w:i/>
                <w:spacing w:val="-4"/>
                <w:sz w:val="28"/>
                <w:szCs w:val="28"/>
              </w:rPr>
              <w:t xml:space="preserve">tương ứng với </w:t>
            </w:r>
            <w:r w:rsidR="009C7EAB" w:rsidRPr="00B84F4E">
              <w:rPr>
                <w:i/>
                <w:spacing w:val="-4"/>
                <w:sz w:val="28"/>
                <w:szCs w:val="28"/>
              </w:rPr>
              <w:t xml:space="preserve">mức hỗ trợ </w:t>
            </w:r>
            <w:r w:rsidR="00F13AB0" w:rsidRPr="00B84F4E">
              <w:rPr>
                <w:i/>
                <w:spacing w:val="-4"/>
                <w:sz w:val="28"/>
                <w:szCs w:val="28"/>
              </w:rPr>
              <w:t>cấp huyện</w:t>
            </w:r>
            <w:r w:rsidR="00D92822" w:rsidRPr="00B84F4E">
              <w:rPr>
                <w:i/>
                <w:spacing w:val="-4"/>
                <w:sz w:val="28"/>
                <w:szCs w:val="28"/>
              </w:rPr>
              <w:t xml:space="preserve"> cũ</w:t>
            </w:r>
            <w:r w:rsidR="00F13AB0" w:rsidRPr="00B84F4E">
              <w:rPr>
                <w:i/>
                <w:spacing w:val="-4"/>
                <w:sz w:val="28"/>
                <w:szCs w:val="28"/>
              </w:rPr>
              <w:t>.</w:t>
            </w:r>
            <w:r w:rsidR="00AB5E12" w:rsidRPr="00B84F4E">
              <w:rPr>
                <w:spacing w:val="-4"/>
                <w:sz w:val="28"/>
                <w:szCs w:val="28"/>
              </w:rPr>
              <w:t xml:space="preserve"> </w:t>
            </w:r>
          </w:p>
        </w:tc>
      </w:tr>
      <w:tr w:rsidR="00E927B9" w:rsidRPr="00B84F4E" w14:paraId="65CC7B6C" w14:textId="77777777" w:rsidTr="001951E2">
        <w:tc>
          <w:tcPr>
            <w:tcW w:w="2943" w:type="dxa"/>
          </w:tcPr>
          <w:p w14:paraId="5DECFD50" w14:textId="3131224D" w:rsidR="00E927B9" w:rsidRPr="00B84F4E" w:rsidRDefault="003721FA" w:rsidP="002B3BDF">
            <w:pPr>
              <w:tabs>
                <w:tab w:val="center" w:pos="4702"/>
              </w:tabs>
              <w:spacing w:before="120" w:after="120"/>
              <w:jc w:val="both"/>
              <w:rPr>
                <w:rFonts w:eastAsia="Calibri"/>
                <w:b/>
                <w:color w:val="000000" w:themeColor="text1"/>
                <w:sz w:val="28"/>
                <w:szCs w:val="28"/>
                <w:lang w:val="sv-SE"/>
              </w:rPr>
            </w:pPr>
            <w:r w:rsidRPr="00B84F4E">
              <w:rPr>
                <w:b/>
                <w:bCs/>
                <w:color w:val="000000" w:themeColor="text1"/>
                <w:sz w:val="28"/>
                <w:szCs w:val="28"/>
                <w:lang w:val="sv-SE"/>
              </w:rPr>
              <w:lastRenderedPageBreak/>
              <w:t xml:space="preserve">Điều 5. </w:t>
            </w:r>
            <w:r w:rsidR="00D92822" w:rsidRPr="00B84F4E">
              <w:rPr>
                <w:b/>
                <w:sz w:val="28"/>
                <w:szCs w:val="28"/>
              </w:rPr>
              <w:t>Nguồn kinh phí thực hiện</w:t>
            </w:r>
          </w:p>
        </w:tc>
        <w:tc>
          <w:tcPr>
            <w:tcW w:w="11199" w:type="dxa"/>
          </w:tcPr>
          <w:p w14:paraId="67BECDC3" w14:textId="4BF9CF5B" w:rsidR="003721FA" w:rsidRPr="00B84F4E" w:rsidRDefault="003721FA" w:rsidP="003721FA">
            <w:pPr>
              <w:tabs>
                <w:tab w:val="center" w:pos="4702"/>
              </w:tabs>
              <w:spacing w:before="120" w:after="120"/>
              <w:jc w:val="both"/>
              <w:rPr>
                <w:color w:val="000000" w:themeColor="text1"/>
                <w:sz w:val="28"/>
                <w:szCs w:val="28"/>
              </w:rPr>
            </w:pPr>
            <w:r w:rsidRPr="00B84F4E">
              <w:rPr>
                <w:b/>
                <w:color w:val="000000" w:themeColor="text1"/>
                <w:sz w:val="28"/>
                <w:szCs w:val="28"/>
              </w:rPr>
              <w:t>1.</w:t>
            </w:r>
            <w:r w:rsidRPr="00B84F4E">
              <w:rPr>
                <w:color w:val="000000" w:themeColor="text1"/>
                <w:sz w:val="28"/>
                <w:szCs w:val="28"/>
              </w:rPr>
              <w:t xml:space="preserve"> Thực hiện theo mẫu số 12 của Nghị định số 187/2025/NĐ-CP ngày 01 tháng 7 năm 2025 của </w:t>
            </w:r>
            <w:r w:rsidR="004437A7">
              <w:rPr>
                <w:color w:val="000000" w:themeColor="text1"/>
                <w:sz w:val="28"/>
                <w:szCs w:val="28"/>
              </w:rPr>
              <w:t>Chính phủ</w:t>
            </w:r>
            <w:r w:rsidRPr="00B84F4E">
              <w:rPr>
                <w:color w:val="000000" w:themeColor="text1"/>
                <w:sz w:val="28"/>
                <w:szCs w:val="28"/>
              </w:rPr>
              <w:t xml:space="preserve"> về sửa đổi, bổ sung một số điều Nghị định số 78/2025/NĐ-CP ngày 01 tháng 4 năm 2025 của </w:t>
            </w:r>
            <w:r w:rsidR="004437A7">
              <w:rPr>
                <w:color w:val="000000" w:themeColor="text1"/>
                <w:sz w:val="28"/>
                <w:szCs w:val="28"/>
              </w:rPr>
              <w:t>Chính phủ</w:t>
            </w:r>
            <w:r w:rsidRPr="00B84F4E">
              <w:rPr>
                <w:color w:val="000000" w:themeColor="text1"/>
                <w:sz w:val="28"/>
                <w:szCs w:val="28"/>
              </w:rPr>
              <w:t xml:space="preserve"> quy định chi tiết một số điều và biện pháp để tổ chức, hướng dẫn thi hành Luật Ban hanh văn bản quy phạm pháp luật và Nghị định số 79/2025/NĐ-CP ngày 01 tháng 4 năm 2025 của </w:t>
            </w:r>
            <w:r w:rsidR="004437A7">
              <w:rPr>
                <w:color w:val="000000" w:themeColor="text1"/>
                <w:sz w:val="28"/>
                <w:szCs w:val="28"/>
              </w:rPr>
              <w:t>Chính phủ</w:t>
            </w:r>
            <w:r w:rsidRPr="00B84F4E">
              <w:rPr>
                <w:color w:val="000000" w:themeColor="text1"/>
                <w:sz w:val="28"/>
                <w:szCs w:val="28"/>
              </w:rPr>
              <w:t xml:space="preserve"> về kiểm tra, rà soát, hệ thống hóa và xử lý văn bản quy phạm pháp luật.</w:t>
            </w:r>
          </w:p>
          <w:p w14:paraId="1DE89AAB" w14:textId="77777777" w:rsidR="00E927B9" w:rsidRPr="00B84F4E" w:rsidRDefault="003721FA" w:rsidP="003721FA">
            <w:pPr>
              <w:tabs>
                <w:tab w:val="center" w:pos="4702"/>
              </w:tabs>
              <w:spacing w:before="120" w:after="120"/>
              <w:jc w:val="both"/>
              <w:rPr>
                <w:b/>
                <w:color w:val="000000" w:themeColor="text1"/>
                <w:sz w:val="28"/>
                <w:szCs w:val="28"/>
              </w:rPr>
            </w:pPr>
            <w:r w:rsidRPr="00B84F4E">
              <w:rPr>
                <w:b/>
                <w:color w:val="000000" w:themeColor="text1"/>
                <w:sz w:val="28"/>
                <w:szCs w:val="28"/>
              </w:rPr>
              <w:t>2. Nội dung cơ bản</w:t>
            </w:r>
          </w:p>
          <w:p w14:paraId="376913E0" w14:textId="77777777" w:rsidR="00D92822" w:rsidRPr="00B84F4E" w:rsidRDefault="00D92822" w:rsidP="00D92822">
            <w:pPr>
              <w:shd w:val="clear" w:color="auto" w:fill="FFFFFF"/>
              <w:spacing w:before="120"/>
              <w:jc w:val="both"/>
              <w:rPr>
                <w:sz w:val="28"/>
                <w:szCs w:val="28"/>
              </w:rPr>
            </w:pPr>
            <w:r w:rsidRPr="00B84F4E">
              <w:rPr>
                <w:sz w:val="28"/>
                <w:szCs w:val="28"/>
                <w:lang w:eastAsia="x-none"/>
              </w:rPr>
              <w:t>Nguồn kinh phí thực hiện chính sách hỗ trợ đối với những người trực tiếp tham gia công tác giải quyết tố giác, tin báo về tội phạm và kiến nghị khởi tố; điều tra, truy tố xét xử vụ án hình sự trên địa bàn tỉnh Đồng Nai giai đoạn 2025 - 2030 do ngân sách tỉnh chi trả.</w:t>
            </w:r>
          </w:p>
          <w:p w14:paraId="74E08EA0" w14:textId="4F12C246" w:rsidR="003F2CEC" w:rsidRPr="00B84F4E" w:rsidRDefault="003F2CEC" w:rsidP="00AC6B01">
            <w:pPr>
              <w:widowControl w:val="0"/>
              <w:tabs>
                <w:tab w:val="right" w:leader="dot" w:pos="7920"/>
              </w:tabs>
              <w:spacing w:before="120"/>
              <w:jc w:val="both"/>
              <w:rPr>
                <w:b/>
                <w:i/>
                <w:sz w:val="28"/>
                <w:szCs w:val="28"/>
              </w:rPr>
            </w:pPr>
            <w:r w:rsidRPr="00B84F4E">
              <w:rPr>
                <w:i/>
                <w:color w:val="000000" w:themeColor="text1"/>
                <w:sz w:val="28"/>
                <w:szCs w:val="28"/>
                <w:lang w:val="sv-SE"/>
              </w:rPr>
              <w:t xml:space="preserve">Quy định </w:t>
            </w:r>
            <w:r w:rsidR="00D73084" w:rsidRPr="00B84F4E">
              <w:rPr>
                <w:rFonts w:eastAsia="Calibri"/>
                <w:i/>
                <w:color w:val="000000" w:themeColor="text1"/>
                <w:spacing w:val="4"/>
                <w:sz w:val="28"/>
                <w:szCs w:val="28"/>
                <w:lang w:val="sv-SE"/>
              </w:rPr>
              <w:t>kế thừa từ Nghị quyết số 42 của HĐND tỉnh Đồng Nai (cũ)</w:t>
            </w:r>
            <w:r w:rsidRPr="00B84F4E">
              <w:rPr>
                <w:i/>
                <w:color w:val="000000" w:themeColor="text1"/>
                <w:sz w:val="28"/>
                <w:szCs w:val="28"/>
                <w:lang w:val="sv-SE"/>
              </w:rPr>
              <w:t xml:space="preserve">. </w:t>
            </w:r>
            <w:r w:rsidR="003E076F" w:rsidRPr="00B84F4E">
              <w:rPr>
                <w:i/>
                <w:sz w:val="28"/>
                <w:szCs w:val="28"/>
              </w:rPr>
              <w:t xml:space="preserve">Để tiếp tục </w:t>
            </w:r>
            <w:r w:rsidR="003E076F" w:rsidRPr="00B84F4E">
              <w:rPr>
                <w:i/>
                <w:sz w:val="28"/>
                <w:szCs w:val="28"/>
                <w:lang w:eastAsia="x-none"/>
              </w:rPr>
              <w:t xml:space="preserve">hỗ trợ thêm kinh phí cho cán bộ </w:t>
            </w:r>
            <w:r w:rsidR="003E076F" w:rsidRPr="00B84F4E">
              <w:rPr>
                <w:i/>
                <w:sz w:val="28"/>
                <w:szCs w:val="28"/>
                <w:lang w:val="x-none" w:eastAsia="x-none"/>
              </w:rPr>
              <w:t xml:space="preserve">Cơ quan điều tra, Viện kiểm sát nhân dân, Tòa án nhân dân </w:t>
            </w:r>
            <w:r w:rsidR="003E076F" w:rsidRPr="00B84F4E">
              <w:rPr>
                <w:i/>
                <w:sz w:val="28"/>
                <w:szCs w:val="28"/>
                <w:lang w:eastAsia="x-none"/>
              </w:rPr>
              <w:t xml:space="preserve">trên địa bàn </w:t>
            </w:r>
            <w:r w:rsidR="003E076F" w:rsidRPr="00B84F4E">
              <w:rPr>
                <w:i/>
                <w:sz w:val="28"/>
                <w:szCs w:val="28"/>
                <w:lang w:val="x-none" w:eastAsia="x-none"/>
              </w:rPr>
              <w:t xml:space="preserve">tỉnh </w:t>
            </w:r>
            <w:r w:rsidR="003E076F" w:rsidRPr="00B84F4E">
              <w:rPr>
                <w:i/>
                <w:sz w:val="28"/>
                <w:szCs w:val="28"/>
                <w:lang w:eastAsia="x-none"/>
              </w:rPr>
              <w:t xml:space="preserve">trực tiếp thực hiện các hoạt động tố tụng; giúp cán bộ, công chức </w:t>
            </w:r>
            <w:r w:rsidR="003E076F" w:rsidRPr="00B84F4E">
              <w:rPr>
                <w:i/>
                <w:sz w:val="28"/>
                <w:szCs w:val="28"/>
                <w:lang w:val="x-none" w:eastAsia="x-none"/>
              </w:rPr>
              <w:t>yên tâm công tác</w:t>
            </w:r>
            <w:r w:rsidR="003E076F" w:rsidRPr="00B84F4E">
              <w:rPr>
                <w:i/>
                <w:sz w:val="28"/>
                <w:szCs w:val="28"/>
                <w:lang w:eastAsia="x-none"/>
              </w:rPr>
              <w:t xml:space="preserve">; tạo </w:t>
            </w:r>
            <w:r w:rsidR="003E076F" w:rsidRPr="00B84F4E">
              <w:rPr>
                <w:i/>
                <w:spacing w:val="-4"/>
                <w:sz w:val="28"/>
                <w:szCs w:val="28"/>
              </w:rPr>
              <w:t xml:space="preserve">động lực </w:t>
            </w:r>
            <w:r w:rsidR="003E076F" w:rsidRPr="00B84F4E">
              <w:rPr>
                <w:i/>
                <w:sz w:val="28"/>
                <w:szCs w:val="28"/>
              </w:rPr>
              <w:t xml:space="preserve">để mỗi cán bộ, công chức </w:t>
            </w:r>
            <w:r w:rsidR="003E076F" w:rsidRPr="00B84F4E">
              <w:rPr>
                <w:i/>
                <w:sz w:val="28"/>
                <w:szCs w:val="28"/>
                <w:lang w:val="x-none" w:eastAsia="x-none"/>
              </w:rPr>
              <w:t xml:space="preserve">nâng cao vai trò trách nhiệm, </w:t>
            </w:r>
            <w:r w:rsidR="003E076F" w:rsidRPr="00B84F4E">
              <w:rPr>
                <w:i/>
                <w:sz w:val="28"/>
                <w:szCs w:val="28"/>
              </w:rPr>
              <w:t xml:space="preserve">nỗ lực phấn đấu thực hiện tốt chức trách </w:t>
            </w:r>
            <w:r w:rsidR="003E076F" w:rsidRPr="00B84F4E">
              <w:rPr>
                <w:i/>
                <w:sz w:val="28"/>
                <w:szCs w:val="28"/>
              </w:rPr>
              <w:lastRenderedPageBreak/>
              <w:t>nhiệm vụ được giao</w:t>
            </w:r>
            <w:r w:rsidR="003E076F" w:rsidRPr="00B84F4E">
              <w:rPr>
                <w:i/>
                <w:sz w:val="28"/>
                <w:szCs w:val="28"/>
                <w:lang w:eastAsia="x-none"/>
              </w:rPr>
              <w:t xml:space="preserve">; </w:t>
            </w:r>
            <w:r w:rsidR="003E076F" w:rsidRPr="00B84F4E">
              <w:rPr>
                <w:i/>
                <w:sz w:val="28"/>
                <w:szCs w:val="28"/>
              </w:rPr>
              <w:t>chấp hành đúng pháp luật trong tiếp nhận, giải quyết tố giác, tin báo về tội phạm và kiến nghị khởi tố, bắt, giam giữ, điều tra, truy tố, xét xử</w:t>
            </w:r>
            <w:r w:rsidR="003E076F" w:rsidRPr="00B84F4E">
              <w:rPr>
                <w:i/>
                <w:sz w:val="28"/>
                <w:szCs w:val="28"/>
                <w:lang w:val="x-none" w:eastAsia="x-none"/>
              </w:rPr>
              <w:t xml:space="preserve"> các vụ án hình sự</w:t>
            </w:r>
            <w:r w:rsidR="003E076F" w:rsidRPr="00B84F4E">
              <w:rPr>
                <w:i/>
                <w:sz w:val="28"/>
                <w:szCs w:val="28"/>
              </w:rPr>
              <w:t xml:space="preserve">, không để xảy ra oan, sai, bỏ lọt tội phạm; giữ vững an ninh trật tự trên địa bàn, phục vụ tốt nhiệm vụ phát triển kinh tế - xã hội của tỉnh. </w:t>
            </w:r>
          </w:p>
        </w:tc>
      </w:tr>
      <w:tr w:rsidR="00E927B9" w:rsidRPr="00B84F4E" w14:paraId="5A22E835" w14:textId="77777777" w:rsidTr="001951E2">
        <w:tc>
          <w:tcPr>
            <w:tcW w:w="2943" w:type="dxa"/>
          </w:tcPr>
          <w:p w14:paraId="70A7BC44" w14:textId="43E76B31" w:rsidR="00E927B9" w:rsidRPr="00B84F4E" w:rsidRDefault="00AC46D1" w:rsidP="00AC6B01">
            <w:pPr>
              <w:shd w:val="clear" w:color="auto" w:fill="FFFFFF"/>
              <w:spacing w:before="120"/>
              <w:jc w:val="both"/>
              <w:rPr>
                <w:b/>
                <w:sz w:val="28"/>
                <w:szCs w:val="28"/>
              </w:rPr>
            </w:pPr>
            <w:r w:rsidRPr="00B84F4E">
              <w:rPr>
                <w:b/>
                <w:bCs/>
                <w:color w:val="000000" w:themeColor="text1"/>
                <w:spacing w:val="-4"/>
                <w:sz w:val="28"/>
                <w:szCs w:val="28"/>
                <w:lang w:val="sv-SE"/>
              </w:rPr>
              <w:lastRenderedPageBreak/>
              <w:t xml:space="preserve">Điều 6. </w:t>
            </w:r>
            <w:r w:rsidR="00AC6B01" w:rsidRPr="00B84F4E">
              <w:rPr>
                <w:b/>
                <w:sz w:val="28"/>
                <w:szCs w:val="28"/>
              </w:rPr>
              <w:t>Điều kiện hỗ trợ và việc lập dự toán, quyết toán</w:t>
            </w:r>
          </w:p>
        </w:tc>
        <w:tc>
          <w:tcPr>
            <w:tcW w:w="11199" w:type="dxa"/>
          </w:tcPr>
          <w:p w14:paraId="6DEE7B54" w14:textId="7F2EC6B8" w:rsidR="00AC46D1" w:rsidRPr="00B84F4E" w:rsidRDefault="00AC46D1" w:rsidP="00AC46D1">
            <w:pPr>
              <w:tabs>
                <w:tab w:val="center" w:pos="4702"/>
              </w:tabs>
              <w:spacing w:before="120" w:after="120"/>
              <w:jc w:val="both"/>
              <w:rPr>
                <w:color w:val="000000" w:themeColor="text1"/>
                <w:sz w:val="28"/>
                <w:szCs w:val="28"/>
              </w:rPr>
            </w:pPr>
            <w:r w:rsidRPr="00B84F4E">
              <w:rPr>
                <w:b/>
                <w:color w:val="000000" w:themeColor="text1"/>
                <w:sz w:val="28"/>
                <w:szCs w:val="28"/>
              </w:rPr>
              <w:t>1.</w:t>
            </w:r>
            <w:r w:rsidRPr="00B84F4E">
              <w:rPr>
                <w:color w:val="000000" w:themeColor="text1"/>
                <w:sz w:val="28"/>
                <w:szCs w:val="28"/>
              </w:rPr>
              <w:t xml:space="preserve"> Thực hiện theo mẫu số 12 của Nghị định số 187/2025/NĐ-CP ngày 01 tháng 7 năm 2025 của </w:t>
            </w:r>
            <w:r w:rsidR="004437A7">
              <w:rPr>
                <w:color w:val="000000" w:themeColor="text1"/>
                <w:sz w:val="28"/>
                <w:szCs w:val="28"/>
              </w:rPr>
              <w:t>Chính phủ</w:t>
            </w:r>
            <w:r w:rsidRPr="00B84F4E">
              <w:rPr>
                <w:color w:val="000000" w:themeColor="text1"/>
                <w:sz w:val="28"/>
                <w:szCs w:val="28"/>
              </w:rPr>
              <w:t xml:space="preserve"> về sửa đổi, bổ sung một số điều Nghị định số 78/2025/NĐ-CP ngày 01 tháng 4 năm 2025 của </w:t>
            </w:r>
            <w:r w:rsidR="004437A7">
              <w:rPr>
                <w:color w:val="000000" w:themeColor="text1"/>
                <w:sz w:val="28"/>
                <w:szCs w:val="28"/>
              </w:rPr>
              <w:t>Chính phủ</w:t>
            </w:r>
            <w:r w:rsidRPr="00B84F4E">
              <w:rPr>
                <w:color w:val="000000" w:themeColor="text1"/>
                <w:sz w:val="28"/>
                <w:szCs w:val="28"/>
              </w:rPr>
              <w:t xml:space="preserve"> quy định chi tiết một số điều và biện pháp để tổ chức, hướng dẫn thi hành Luật Ban hanh văn bản quy phạm pháp luật và Nghị định số 79/2025/NĐ-CP ngày 01 tháng 4 năm 2025 của </w:t>
            </w:r>
            <w:r w:rsidR="004437A7">
              <w:rPr>
                <w:color w:val="000000" w:themeColor="text1"/>
                <w:sz w:val="28"/>
                <w:szCs w:val="28"/>
              </w:rPr>
              <w:t>Chính phủ</w:t>
            </w:r>
            <w:r w:rsidRPr="00B84F4E">
              <w:rPr>
                <w:color w:val="000000" w:themeColor="text1"/>
                <w:sz w:val="28"/>
                <w:szCs w:val="28"/>
              </w:rPr>
              <w:t xml:space="preserve"> về kiểm tra, rà soát, hệ thống hóa và xử lý văn bản quy phạm pháp luật.</w:t>
            </w:r>
          </w:p>
          <w:p w14:paraId="70FE44D1" w14:textId="77777777" w:rsidR="00E927B9" w:rsidRPr="00B84F4E" w:rsidRDefault="00AC46D1" w:rsidP="00AC46D1">
            <w:pPr>
              <w:tabs>
                <w:tab w:val="center" w:pos="4702"/>
              </w:tabs>
              <w:spacing w:before="120" w:after="120"/>
              <w:jc w:val="both"/>
              <w:rPr>
                <w:b/>
                <w:color w:val="000000" w:themeColor="text1"/>
                <w:sz w:val="28"/>
                <w:szCs w:val="28"/>
              </w:rPr>
            </w:pPr>
            <w:r w:rsidRPr="00B84F4E">
              <w:rPr>
                <w:b/>
                <w:color w:val="000000" w:themeColor="text1"/>
                <w:sz w:val="28"/>
                <w:szCs w:val="28"/>
              </w:rPr>
              <w:t>2. Nội dung cơ bản</w:t>
            </w:r>
          </w:p>
          <w:p w14:paraId="3D0E8A13" w14:textId="040A2607" w:rsidR="00AC6B01" w:rsidRPr="00B84F4E" w:rsidRDefault="00AC6B01" w:rsidP="00AC6B01">
            <w:pPr>
              <w:shd w:val="clear" w:color="auto" w:fill="FFFFFF"/>
              <w:spacing w:before="120"/>
              <w:jc w:val="both"/>
              <w:rPr>
                <w:sz w:val="28"/>
                <w:szCs w:val="28"/>
              </w:rPr>
            </w:pPr>
            <w:r w:rsidRPr="00B84F4E">
              <w:rPr>
                <w:sz w:val="28"/>
                <w:szCs w:val="28"/>
              </w:rPr>
              <w:t>2.1</w:t>
            </w:r>
            <w:r w:rsidRPr="00B84F4E">
              <w:rPr>
                <w:sz w:val="28"/>
                <w:szCs w:val="28"/>
                <w:lang w:val="vi-VN"/>
              </w:rPr>
              <w:t>. Điều kiện hỗ trợ</w:t>
            </w:r>
            <w:r w:rsidRPr="00B84F4E">
              <w:rPr>
                <w:sz w:val="28"/>
                <w:szCs w:val="28"/>
              </w:rPr>
              <w:t>:</w:t>
            </w:r>
          </w:p>
          <w:p w14:paraId="71D3DA22" w14:textId="77777777" w:rsidR="00AC6B01" w:rsidRPr="00B84F4E" w:rsidRDefault="00AC6B01" w:rsidP="00AC6B01">
            <w:pPr>
              <w:shd w:val="clear" w:color="auto" w:fill="FFFFFF"/>
              <w:spacing w:before="120"/>
              <w:jc w:val="both"/>
              <w:rPr>
                <w:spacing w:val="2"/>
                <w:sz w:val="28"/>
                <w:szCs w:val="28"/>
              </w:rPr>
            </w:pPr>
            <w:r w:rsidRPr="00B84F4E">
              <w:rPr>
                <w:spacing w:val="2"/>
                <w:sz w:val="28"/>
                <w:szCs w:val="28"/>
              </w:rPr>
              <w:t>Chính sách hỗ trợ kinh phí được áp dụng đối với các trường hợp thụ lý giải quyết tố giác, tin báo về tội phạm và kiến nghị khởi tố; điều tra, truy tố, xét xử vụ án hình sự đảm bảo thời hạn theo quy định của Bộ Luật Tố tụng hình sự, trong đó:</w:t>
            </w:r>
          </w:p>
          <w:p w14:paraId="67644562" w14:textId="77777777" w:rsidR="00AC6B01" w:rsidRPr="00B84F4E" w:rsidRDefault="00AC6B01" w:rsidP="00AC6B01">
            <w:pPr>
              <w:spacing w:before="120"/>
              <w:jc w:val="both"/>
              <w:rPr>
                <w:spacing w:val="-2"/>
                <w:sz w:val="28"/>
                <w:szCs w:val="28"/>
                <w:lang w:eastAsia="x-none"/>
              </w:rPr>
            </w:pPr>
            <w:r w:rsidRPr="00B84F4E">
              <w:rPr>
                <w:sz w:val="28"/>
                <w:szCs w:val="28"/>
                <w:lang w:eastAsia="x-none"/>
              </w:rPr>
              <w:t xml:space="preserve">a) </w:t>
            </w:r>
            <w:r w:rsidRPr="00B84F4E">
              <w:rPr>
                <w:spacing w:val="-2"/>
                <w:sz w:val="28"/>
                <w:szCs w:val="28"/>
                <w:lang w:eastAsia="x-none"/>
              </w:rPr>
              <w:t>Đối với công tác giải quyết tố giác, tin báo về tội phạm và kiến nghị khởi tố: phải có Quyết định Khởi tố vụ án hình sự hoặc Quyết định Không khởi tố vụ án hình sự.</w:t>
            </w:r>
          </w:p>
          <w:p w14:paraId="0CC6A456" w14:textId="77777777" w:rsidR="00AC6B01" w:rsidRPr="00B84F4E" w:rsidRDefault="00AC6B01" w:rsidP="00AC6B01">
            <w:pPr>
              <w:spacing w:before="120"/>
              <w:jc w:val="both"/>
              <w:rPr>
                <w:i/>
                <w:sz w:val="28"/>
                <w:szCs w:val="28"/>
                <w:lang w:eastAsia="x-none"/>
              </w:rPr>
            </w:pPr>
            <w:r w:rsidRPr="00B84F4E">
              <w:rPr>
                <w:sz w:val="28"/>
                <w:szCs w:val="28"/>
                <w:lang w:eastAsia="x-none"/>
              </w:rPr>
              <w:t>b) Đối với công tác điều tra, truy tố, xét xử vụ án hình sự:</w:t>
            </w:r>
          </w:p>
          <w:p w14:paraId="3B9B21A7" w14:textId="77777777" w:rsidR="00AC6B01" w:rsidRPr="00B84F4E" w:rsidRDefault="00AC6B01" w:rsidP="00AC6B01">
            <w:pPr>
              <w:spacing w:before="120"/>
              <w:jc w:val="both"/>
              <w:rPr>
                <w:spacing w:val="-6"/>
                <w:sz w:val="28"/>
                <w:szCs w:val="28"/>
                <w:lang w:eastAsia="x-none"/>
              </w:rPr>
            </w:pPr>
            <w:r w:rsidRPr="00B84F4E">
              <w:rPr>
                <w:sz w:val="28"/>
                <w:szCs w:val="28"/>
                <w:lang w:eastAsia="x-none"/>
              </w:rPr>
              <w:t xml:space="preserve">- Giai đoạn điều tra: phải có Bản kết luận điều tra vụ án hình sự; hoặc Quyết định đình chỉ điều tra vụ án hình sự (với căn cứ đình chỉ được quy định tại khoản 2 Điều 155 BLTTHS hoặc khoản 6, 7 Điều 157 BLTTHS; </w:t>
            </w:r>
            <w:r w:rsidRPr="00B84F4E">
              <w:rPr>
                <w:spacing w:val="-6"/>
                <w:sz w:val="28"/>
                <w:szCs w:val="28"/>
                <w:lang w:eastAsia="x-none"/>
              </w:rPr>
              <w:t xml:space="preserve">hoặc có căn cứ quy định tại Điều 16 hoặc Điều 29 hoặc khoản 2 Điều 91 của Bộ luật hình sự); hoặc </w:t>
            </w:r>
            <w:r w:rsidRPr="00B84F4E">
              <w:rPr>
                <w:sz w:val="28"/>
                <w:szCs w:val="28"/>
                <w:lang w:eastAsia="x-none"/>
              </w:rPr>
              <w:t>Quyết định chuyển vụ án hình sự (ngoài tỉnh) để tiếp tục điều tra, xử lý theo thẩm quyền.</w:t>
            </w:r>
          </w:p>
          <w:p w14:paraId="4966D62A" w14:textId="77777777" w:rsidR="00AC6B01" w:rsidRPr="00B84F4E" w:rsidRDefault="00AC6B01" w:rsidP="00AC6B01">
            <w:pPr>
              <w:spacing w:before="120"/>
              <w:jc w:val="both"/>
              <w:rPr>
                <w:sz w:val="28"/>
                <w:szCs w:val="28"/>
                <w:lang w:eastAsia="x-none"/>
              </w:rPr>
            </w:pPr>
            <w:r w:rsidRPr="00B84F4E">
              <w:rPr>
                <w:sz w:val="28"/>
                <w:szCs w:val="28"/>
                <w:lang w:eastAsia="x-none"/>
              </w:rPr>
              <w:t>- Giai đoạn truy tố và kiểm sát xét xử: phải có Cáo trạng truy tố hoặc Quyết định đình chỉ vụ án hình sự.</w:t>
            </w:r>
          </w:p>
          <w:p w14:paraId="0932E293" w14:textId="77777777" w:rsidR="00AC6B01" w:rsidRPr="00B84F4E" w:rsidRDefault="00AC6B01" w:rsidP="00AC6B01">
            <w:pPr>
              <w:spacing w:before="120"/>
              <w:jc w:val="both"/>
              <w:rPr>
                <w:sz w:val="28"/>
                <w:szCs w:val="28"/>
                <w:lang w:eastAsia="x-none"/>
              </w:rPr>
            </w:pPr>
            <w:r w:rsidRPr="00B84F4E">
              <w:rPr>
                <w:sz w:val="28"/>
                <w:szCs w:val="28"/>
                <w:lang w:eastAsia="x-none"/>
              </w:rPr>
              <w:t>- Giai đoạn xét xử: phải có Bản án hoặc Quyết định đình chỉ vụ án hình sự.</w:t>
            </w:r>
          </w:p>
          <w:p w14:paraId="002AE8AA" w14:textId="688F1C40" w:rsidR="00AC6B01" w:rsidRPr="00B84F4E" w:rsidRDefault="00AC6B01" w:rsidP="00AC6B01">
            <w:pPr>
              <w:spacing w:before="120"/>
              <w:jc w:val="both"/>
              <w:rPr>
                <w:sz w:val="28"/>
                <w:szCs w:val="28"/>
                <w:lang w:eastAsia="x-none"/>
              </w:rPr>
            </w:pPr>
            <w:r w:rsidRPr="00B84F4E">
              <w:rPr>
                <w:sz w:val="28"/>
                <w:szCs w:val="28"/>
                <w:lang w:eastAsia="x-none"/>
              </w:rPr>
              <w:t xml:space="preserve">2.2. </w:t>
            </w:r>
            <w:r w:rsidRPr="00B84F4E">
              <w:rPr>
                <w:sz w:val="28"/>
                <w:szCs w:val="28"/>
                <w:lang w:val="x-none" w:eastAsia="x-none"/>
              </w:rPr>
              <w:t xml:space="preserve">Việc </w:t>
            </w:r>
            <w:r w:rsidRPr="00B84F4E">
              <w:rPr>
                <w:sz w:val="28"/>
                <w:szCs w:val="28"/>
                <w:lang w:eastAsia="x-none"/>
              </w:rPr>
              <w:t xml:space="preserve">lập dự toán, </w:t>
            </w:r>
            <w:r w:rsidRPr="00B84F4E">
              <w:rPr>
                <w:sz w:val="28"/>
                <w:szCs w:val="28"/>
                <w:lang w:val="x-none" w:eastAsia="x-none"/>
              </w:rPr>
              <w:t>quyết toán</w:t>
            </w:r>
            <w:r w:rsidRPr="00B84F4E">
              <w:rPr>
                <w:sz w:val="28"/>
                <w:szCs w:val="28"/>
                <w:lang w:eastAsia="x-none"/>
              </w:rPr>
              <w:t>:</w:t>
            </w:r>
          </w:p>
          <w:p w14:paraId="092C6B46" w14:textId="77777777" w:rsidR="00AC6B01" w:rsidRPr="00B84F4E" w:rsidRDefault="00AC6B01" w:rsidP="00AC6B01">
            <w:pPr>
              <w:spacing w:before="120"/>
              <w:jc w:val="both"/>
              <w:rPr>
                <w:sz w:val="28"/>
                <w:szCs w:val="28"/>
                <w:lang w:eastAsia="x-none"/>
              </w:rPr>
            </w:pPr>
            <w:r w:rsidRPr="00B84F4E">
              <w:rPr>
                <w:sz w:val="28"/>
                <w:szCs w:val="28"/>
                <w:lang w:eastAsia="x-none"/>
              </w:rPr>
              <w:lastRenderedPageBreak/>
              <w:t>a) Đối với công tác giải quyết tố giác, tin báo về tội phạm và kiến nghị khởi tố: do Cơ quan điều tra thực hiện.</w:t>
            </w:r>
          </w:p>
          <w:p w14:paraId="081C01AD" w14:textId="77777777" w:rsidR="00AC6B01" w:rsidRPr="00B84F4E" w:rsidRDefault="00AC6B01" w:rsidP="00AC6B01">
            <w:pPr>
              <w:spacing w:before="120"/>
              <w:jc w:val="both"/>
              <w:rPr>
                <w:i/>
                <w:sz w:val="28"/>
                <w:szCs w:val="28"/>
                <w:lang w:eastAsia="x-none"/>
              </w:rPr>
            </w:pPr>
            <w:r w:rsidRPr="00B84F4E">
              <w:rPr>
                <w:sz w:val="28"/>
                <w:szCs w:val="28"/>
                <w:lang w:eastAsia="x-none"/>
              </w:rPr>
              <w:t>b) Đối với công tác điều tra, truy tố, xét xử vụ án hình sự: do từng ngành thực hiện.</w:t>
            </w:r>
          </w:p>
          <w:p w14:paraId="3578EFE7" w14:textId="5BC9844D" w:rsidR="00AC6B01" w:rsidRPr="00B84F4E" w:rsidRDefault="008E26CA" w:rsidP="00AC6B01">
            <w:pPr>
              <w:spacing w:before="120"/>
              <w:jc w:val="both"/>
              <w:rPr>
                <w:sz w:val="28"/>
                <w:szCs w:val="28"/>
                <w:lang w:eastAsia="x-none"/>
              </w:rPr>
            </w:pPr>
            <w:r>
              <w:rPr>
                <w:sz w:val="28"/>
                <w:szCs w:val="28"/>
                <w:lang w:eastAsia="x-none"/>
              </w:rPr>
              <w:t>2.</w:t>
            </w:r>
            <w:r w:rsidR="00AC6B01" w:rsidRPr="00B84F4E">
              <w:rPr>
                <w:sz w:val="28"/>
                <w:szCs w:val="28"/>
                <w:lang w:eastAsia="x-none"/>
              </w:rPr>
              <w:t>3. Quy định quyết toán đối với trường hợp có Quyết định tách, nhập vụ việc/vụ án hình sự:</w:t>
            </w:r>
          </w:p>
          <w:p w14:paraId="7B9845FD" w14:textId="77777777" w:rsidR="00AC6B01" w:rsidRPr="00B84F4E" w:rsidRDefault="00AC6B01" w:rsidP="00AC6B01">
            <w:pPr>
              <w:pStyle w:val="BodyText"/>
              <w:spacing w:before="120"/>
              <w:rPr>
                <w:sz w:val="28"/>
                <w:szCs w:val="28"/>
              </w:rPr>
            </w:pPr>
            <w:r w:rsidRPr="00B84F4E">
              <w:rPr>
                <w:sz w:val="28"/>
                <w:szCs w:val="28"/>
              </w:rPr>
              <w:t xml:space="preserve">a) Trường hợp nhiều vụ việc/vụ án hình sự có Quyết định nhập </w:t>
            </w:r>
            <w:r w:rsidRPr="00B84F4E">
              <w:rPr>
                <w:sz w:val="28"/>
                <w:szCs w:val="28"/>
                <w:lang w:eastAsia="x-none"/>
              </w:rPr>
              <w:t>vụ việc/vụ án hình sự</w:t>
            </w:r>
            <w:r w:rsidRPr="00B84F4E">
              <w:rPr>
                <w:sz w:val="28"/>
                <w:szCs w:val="28"/>
              </w:rPr>
              <w:t xml:space="preserve"> thì quyết toán 01 vụ. Đơn vị thụ lý cuối cùng có trách nhiệm thực hiện hồ sơ quyết toán.</w:t>
            </w:r>
          </w:p>
          <w:p w14:paraId="1BC1E263" w14:textId="77777777" w:rsidR="00AC6B01" w:rsidRPr="00B84F4E" w:rsidRDefault="00AC6B01" w:rsidP="00AC6B01">
            <w:pPr>
              <w:pStyle w:val="BodyText"/>
              <w:spacing w:before="120"/>
              <w:rPr>
                <w:sz w:val="28"/>
                <w:szCs w:val="28"/>
              </w:rPr>
            </w:pPr>
            <w:r w:rsidRPr="00B84F4E">
              <w:rPr>
                <w:sz w:val="28"/>
                <w:szCs w:val="28"/>
              </w:rPr>
              <w:t xml:space="preserve">b) Trường hợp có Quyết định tách </w:t>
            </w:r>
            <w:r w:rsidRPr="00B84F4E">
              <w:rPr>
                <w:sz w:val="28"/>
                <w:szCs w:val="28"/>
                <w:lang w:eastAsia="x-none"/>
              </w:rPr>
              <w:t>vụ việc/vụ án hình sự</w:t>
            </w:r>
            <w:r w:rsidRPr="00B84F4E">
              <w:rPr>
                <w:sz w:val="28"/>
                <w:szCs w:val="28"/>
              </w:rPr>
              <w:t xml:space="preserve"> thành các vụ riêng thì quyết toán theo từng vụ riêng.</w:t>
            </w:r>
          </w:p>
          <w:p w14:paraId="454DF0FD" w14:textId="784118B0" w:rsidR="004D5752" w:rsidRPr="00B84F4E" w:rsidRDefault="004D5752" w:rsidP="00AC46D1">
            <w:pPr>
              <w:tabs>
                <w:tab w:val="center" w:pos="4702"/>
              </w:tabs>
              <w:spacing w:before="120" w:after="120"/>
              <w:jc w:val="both"/>
              <w:rPr>
                <w:color w:val="000000" w:themeColor="text1"/>
                <w:sz w:val="28"/>
                <w:szCs w:val="28"/>
              </w:rPr>
            </w:pPr>
            <w:r w:rsidRPr="00B84F4E">
              <w:rPr>
                <w:rFonts w:eastAsia="Calibri"/>
                <w:i/>
                <w:color w:val="000000" w:themeColor="text1"/>
                <w:sz w:val="28"/>
                <w:szCs w:val="28"/>
                <w:lang w:val="sv-SE"/>
              </w:rPr>
              <w:t>Cá</w:t>
            </w:r>
            <w:r w:rsidR="00A75F6F" w:rsidRPr="00B84F4E">
              <w:rPr>
                <w:rFonts w:eastAsia="Calibri"/>
                <w:i/>
                <w:color w:val="000000" w:themeColor="text1"/>
                <w:sz w:val="28"/>
                <w:szCs w:val="28"/>
                <w:lang w:val="sv-SE"/>
              </w:rPr>
              <w:t xml:space="preserve">c điều kiện </w:t>
            </w:r>
            <w:r w:rsidRPr="00B84F4E">
              <w:rPr>
                <w:rFonts w:eastAsia="Calibri"/>
                <w:i/>
                <w:color w:val="000000" w:themeColor="text1"/>
                <w:sz w:val="28"/>
                <w:szCs w:val="28"/>
                <w:lang w:val="sv-SE"/>
              </w:rPr>
              <w:t xml:space="preserve">hỗ trợ </w:t>
            </w:r>
            <w:r w:rsidR="00A75F6F" w:rsidRPr="00B84F4E">
              <w:rPr>
                <w:rFonts w:eastAsia="Calibri"/>
                <w:i/>
                <w:color w:val="000000" w:themeColor="text1"/>
                <w:sz w:val="28"/>
                <w:szCs w:val="28"/>
                <w:lang w:val="sv-SE"/>
              </w:rPr>
              <w:t xml:space="preserve">và </w:t>
            </w:r>
            <w:r w:rsidR="00A75F6F" w:rsidRPr="00B84F4E">
              <w:rPr>
                <w:i/>
                <w:sz w:val="28"/>
                <w:szCs w:val="28"/>
              </w:rPr>
              <w:t xml:space="preserve">việc lập dự toán, quyết toán </w:t>
            </w:r>
            <w:r w:rsidRPr="00B84F4E">
              <w:rPr>
                <w:rFonts w:eastAsia="Calibri"/>
                <w:i/>
                <w:color w:val="000000" w:themeColor="text1"/>
                <w:sz w:val="28"/>
                <w:szCs w:val="28"/>
                <w:lang w:val="sv-SE"/>
              </w:rPr>
              <w:t xml:space="preserve">nêu trên được </w:t>
            </w:r>
            <w:r w:rsidR="00A75F6F" w:rsidRPr="00B84F4E">
              <w:rPr>
                <w:rFonts w:eastAsia="Calibri"/>
                <w:i/>
                <w:color w:val="000000" w:themeColor="text1"/>
                <w:spacing w:val="4"/>
                <w:sz w:val="28"/>
                <w:szCs w:val="28"/>
                <w:lang w:val="sv-SE"/>
              </w:rPr>
              <w:t>kế thừa từ Nghị quyết số 42 của HĐND tỉnh Đồng Nai (cũ)</w:t>
            </w:r>
            <w:r w:rsidR="00A75F6F" w:rsidRPr="00B84F4E">
              <w:rPr>
                <w:i/>
                <w:color w:val="000000" w:themeColor="text1"/>
                <w:sz w:val="28"/>
                <w:szCs w:val="28"/>
                <w:lang w:val="sv-SE"/>
              </w:rPr>
              <w:t xml:space="preserve">. </w:t>
            </w:r>
          </w:p>
        </w:tc>
      </w:tr>
      <w:tr w:rsidR="00E927B9" w:rsidRPr="00B84F4E" w14:paraId="68F617F4" w14:textId="77777777" w:rsidTr="001951E2">
        <w:tc>
          <w:tcPr>
            <w:tcW w:w="2943" w:type="dxa"/>
          </w:tcPr>
          <w:p w14:paraId="08333257" w14:textId="18F6B789" w:rsidR="00E927B9" w:rsidRPr="00B84F4E" w:rsidRDefault="006928C4" w:rsidP="002B3BDF">
            <w:pPr>
              <w:tabs>
                <w:tab w:val="center" w:pos="4702"/>
              </w:tabs>
              <w:spacing w:before="120" w:after="120"/>
              <w:jc w:val="both"/>
              <w:rPr>
                <w:rFonts w:eastAsia="Calibri"/>
                <w:b/>
                <w:color w:val="000000" w:themeColor="text1"/>
                <w:sz w:val="28"/>
                <w:szCs w:val="28"/>
                <w:lang w:val="sv-SE"/>
              </w:rPr>
            </w:pPr>
            <w:r w:rsidRPr="00B84F4E">
              <w:rPr>
                <w:b/>
                <w:color w:val="000000" w:themeColor="text1"/>
                <w:spacing w:val="-2"/>
                <w:sz w:val="28"/>
                <w:szCs w:val="28"/>
              </w:rPr>
              <w:lastRenderedPageBreak/>
              <w:t xml:space="preserve">Điều 7. </w:t>
            </w:r>
            <w:r w:rsidR="0071137F" w:rsidRPr="00B84F4E">
              <w:rPr>
                <w:b/>
                <w:sz w:val="28"/>
                <w:szCs w:val="28"/>
                <w:lang w:val="nl-NL"/>
              </w:rPr>
              <w:t>Tổ chức thực hiện</w:t>
            </w:r>
          </w:p>
        </w:tc>
        <w:tc>
          <w:tcPr>
            <w:tcW w:w="11199" w:type="dxa"/>
          </w:tcPr>
          <w:p w14:paraId="2F1EFB77" w14:textId="238742FD" w:rsidR="006928C4" w:rsidRPr="00B84F4E" w:rsidRDefault="006928C4" w:rsidP="006928C4">
            <w:pPr>
              <w:tabs>
                <w:tab w:val="center" w:pos="4702"/>
              </w:tabs>
              <w:spacing w:before="120" w:after="120"/>
              <w:jc w:val="both"/>
              <w:rPr>
                <w:color w:val="000000" w:themeColor="text1"/>
                <w:sz w:val="28"/>
                <w:szCs w:val="28"/>
              </w:rPr>
            </w:pPr>
            <w:r w:rsidRPr="00B84F4E">
              <w:rPr>
                <w:b/>
                <w:color w:val="000000" w:themeColor="text1"/>
                <w:sz w:val="28"/>
                <w:szCs w:val="28"/>
              </w:rPr>
              <w:t>1.</w:t>
            </w:r>
            <w:r w:rsidRPr="00B84F4E">
              <w:rPr>
                <w:color w:val="000000" w:themeColor="text1"/>
                <w:sz w:val="28"/>
                <w:szCs w:val="28"/>
              </w:rPr>
              <w:t xml:space="preserve"> Thực hiện theo mẫu số 12 của Nghị định số 187/2025/NĐ-CP ngày 01 tháng 7 năm 2025 của </w:t>
            </w:r>
            <w:r w:rsidR="004437A7">
              <w:rPr>
                <w:color w:val="000000" w:themeColor="text1"/>
                <w:sz w:val="28"/>
                <w:szCs w:val="28"/>
              </w:rPr>
              <w:t>Chính phủ</w:t>
            </w:r>
            <w:r w:rsidRPr="00B84F4E">
              <w:rPr>
                <w:color w:val="000000" w:themeColor="text1"/>
                <w:sz w:val="28"/>
                <w:szCs w:val="28"/>
              </w:rPr>
              <w:t xml:space="preserve"> về sửa đổi, bổ sung một số điều Nghị định số 78/2025/NĐ-CP ngày 01 tháng 4 năm 2025 của </w:t>
            </w:r>
            <w:r w:rsidR="004437A7">
              <w:rPr>
                <w:color w:val="000000" w:themeColor="text1"/>
                <w:sz w:val="28"/>
                <w:szCs w:val="28"/>
              </w:rPr>
              <w:t>Chính phủ</w:t>
            </w:r>
            <w:r w:rsidRPr="00B84F4E">
              <w:rPr>
                <w:color w:val="000000" w:themeColor="text1"/>
                <w:sz w:val="28"/>
                <w:szCs w:val="28"/>
              </w:rPr>
              <w:t xml:space="preserve"> quy định chi tiết một số điều và biện pháp để tổ chức, hướng dẫn thi hành Luật Ban hanh văn bản quy phạm pháp luật và Nghị định số 79/2025/NĐ-CP ngày 01 tháng 4 năm 2025 của </w:t>
            </w:r>
            <w:r w:rsidR="004437A7">
              <w:rPr>
                <w:color w:val="000000" w:themeColor="text1"/>
                <w:sz w:val="28"/>
                <w:szCs w:val="28"/>
              </w:rPr>
              <w:t>Chính phủ</w:t>
            </w:r>
            <w:r w:rsidRPr="00B84F4E">
              <w:rPr>
                <w:color w:val="000000" w:themeColor="text1"/>
                <w:sz w:val="28"/>
                <w:szCs w:val="28"/>
              </w:rPr>
              <w:t xml:space="preserve"> về kiểm tra, rà soát, hệ thống hóa và xử lý văn bản quy phạm pháp luật.</w:t>
            </w:r>
          </w:p>
          <w:p w14:paraId="52A1BF20" w14:textId="77777777" w:rsidR="006928C4" w:rsidRPr="00B84F4E" w:rsidRDefault="006928C4" w:rsidP="006928C4">
            <w:pPr>
              <w:tabs>
                <w:tab w:val="center" w:pos="4702"/>
              </w:tabs>
              <w:spacing w:before="120" w:after="120"/>
              <w:jc w:val="both"/>
              <w:rPr>
                <w:b/>
                <w:color w:val="000000" w:themeColor="text1"/>
                <w:sz w:val="28"/>
                <w:szCs w:val="28"/>
              </w:rPr>
            </w:pPr>
            <w:r w:rsidRPr="00B84F4E">
              <w:rPr>
                <w:b/>
                <w:color w:val="000000" w:themeColor="text1"/>
                <w:sz w:val="28"/>
                <w:szCs w:val="28"/>
              </w:rPr>
              <w:t>2. Nội dung cơ bản</w:t>
            </w:r>
          </w:p>
          <w:p w14:paraId="2BEA7F3A" w14:textId="79D8172B" w:rsidR="0071137F" w:rsidRPr="00B84F4E" w:rsidRDefault="0071137F" w:rsidP="0071137F">
            <w:pPr>
              <w:spacing w:before="120"/>
              <w:jc w:val="both"/>
              <w:rPr>
                <w:sz w:val="28"/>
                <w:szCs w:val="28"/>
              </w:rPr>
            </w:pPr>
            <w:r w:rsidRPr="00B84F4E">
              <w:rPr>
                <w:sz w:val="28"/>
                <w:szCs w:val="28"/>
              </w:rPr>
              <w:t>2.1. Ủy ban nhân dân tỉnh có trách nhiệm hướng dẫn tổ chức triển khai thực hiện Nghị quyết này và báo cáo kết quả thực hiện tại các Kỳ họp thường lệ của Hội đồng nhân dân tỉnh.</w:t>
            </w:r>
          </w:p>
          <w:p w14:paraId="5E1F9F39" w14:textId="023EA34E" w:rsidR="0071137F" w:rsidRPr="00B84F4E" w:rsidRDefault="0071137F" w:rsidP="0071137F">
            <w:pPr>
              <w:spacing w:before="120"/>
              <w:jc w:val="both"/>
              <w:rPr>
                <w:sz w:val="28"/>
                <w:szCs w:val="28"/>
              </w:rPr>
            </w:pPr>
            <w:r w:rsidRPr="00B84F4E">
              <w:rPr>
                <w:sz w:val="28"/>
                <w:szCs w:val="28"/>
              </w:rPr>
              <w:t>2.2. Thường trực Hội đồng nhân dân tỉnh, các Ban Hội đồng nhân dân tỉnh, các Tổ đại biểu Hội đồng nhân dân tỉnh và đại biểu Hội đồng nhân dân tỉnh giám sát việc thực hiện Nghị quyết này theo quy định.</w:t>
            </w:r>
          </w:p>
          <w:p w14:paraId="7E2C2EA9" w14:textId="597F15D7" w:rsidR="0071137F" w:rsidRPr="00B84F4E" w:rsidRDefault="0071137F" w:rsidP="0071137F">
            <w:pPr>
              <w:spacing w:before="120"/>
              <w:jc w:val="both"/>
              <w:rPr>
                <w:sz w:val="28"/>
                <w:szCs w:val="28"/>
              </w:rPr>
            </w:pPr>
            <w:r w:rsidRPr="00B84F4E">
              <w:rPr>
                <w:sz w:val="28"/>
                <w:szCs w:val="28"/>
              </w:rPr>
              <w:t>2.3.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718DD375" w14:textId="44CE4EA5" w:rsidR="00E927B9" w:rsidRPr="00B84F4E" w:rsidRDefault="0071137F" w:rsidP="00C706C2">
            <w:pPr>
              <w:spacing w:before="120"/>
              <w:jc w:val="both"/>
              <w:rPr>
                <w:sz w:val="28"/>
                <w:szCs w:val="28"/>
              </w:rPr>
            </w:pPr>
            <w:r w:rsidRPr="00B84F4E">
              <w:rPr>
                <w:sz w:val="28"/>
                <w:szCs w:val="28"/>
              </w:rPr>
              <w:lastRenderedPageBreak/>
              <w:t>Các khoản chi ngoài lương của những người trực tiếp tham gia công tác giải quyết tố giác, tin báo về tội phạm và kiến nghị khởi tố và những người tham gia trực tiếp công tác điều tra, truy tố, xét xử các vụ án hình sự có nguồn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Kết luận số 83-KL/TW ngày 21 tháng 6 năm 2024 của Bộ Chính trị về cải cách tiền lương; điều chỉnh lương hưu, trợ cấp bảo hiểm xã hội, trợ cấp ưu đãi người có công và trợ cấp xã hội từ ngày 01 tháng 7 năm 2024.</w:t>
            </w:r>
          </w:p>
        </w:tc>
      </w:tr>
    </w:tbl>
    <w:p w14:paraId="4B6DCDEE" w14:textId="77777777" w:rsidR="00AD0D33" w:rsidRPr="00B84F4E" w:rsidRDefault="00AD0D33" w:rsidP="00952CB8">
      <w:pPr>
        <w:tabs>
          <w:tab w:val="center" w:pos="4702"/>
        </w:tabs>
        <w:spacing w:before="120" w:after="120"/>
        <w:jc w:val="center"/>
        <w:rPr>
          <w:color w:val="000000" w:themeColor="text1"/>
          <w:sz w:val="28"/>
          <w:szCs w:val="28"/>
        </w:rPr>
      </w:pPr>
    </w:p>
    <w:sectPr w:rsidR="00AD0D33" w:rsidRPr="00B84F4E" w:rsidSect="001951E2">
      <w:headerReference w:type="default" r:id="rId8"/>
      <w:footerReference w:type="default" r:id="rId9"/>
      <w:pgSz w:w="16840" w:h="11907" w:orient="landscape" w:code="9"/>
      <w:pgMar w:top="1134" w:right="1134" w:bottom="1134" w:left="1701"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90F2" w14:textId="77777777" w:rsidR="007610BC" w:rsidRDefault="007610BC" w:rsidP="007E2895">
      <w:r>
        <w:separator/>
      </w:r>
    </w:p>
  </w:endnote>
  <w:endnote w:type="continuationSeparator" w:id="0">
    <w:p w14:paraId="6480F462" w14:textId="77777777" w:rsidR="007610BC" w:rsidRDefault="007610BC" w:rsidP="007E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579B3" w14:textId="77777777" w:rsidR="00636D5A" w:rsidRDefault="00636D5A">
    <w:pPr>
      <w:pStyle w:val="Footer"/>
      <w:jc w:val="center"/>
    </w:pPr>
  </w:p>
  <w:p w14:paraId="659AB44C" w14:textId="77777777" w:rsidR="00636D5A" w:rsidRDefault="00636D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40914" w14:textId="77777777" w:rsidR="007610BC" w:rsidRDefault="007610BC" w:rsidP="007E2895">
      <w:r>
        <w:separator/>
      </w:r>
    </w:p>
  </w:footnote>
  <w:footnote w:type="continuationSeparator" w:id="0">
    <w:p w14:paraId="104E27F4" w14:textId="77777777" w:rsidR="007610BC" w:rsidRDefault="007610BC" w:rsidP="007E28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rPr>
      <w:id w:val="-1135636323"/>
      <w:docPartObj>
        <w:docPartGallery w:val="Page Numbers (Top of Page)"/>
        <w:docPartUnique/>
      </w:docPartObj>
    </w:sdtPr>
    <w:sdtEndPr>
      <w:rPr>
        <w:noProof/>
      </w:rPr>
    </w:sdtEndPr>
    <w:sdtContent>
      <w:p w14:paraId="505109EF" w14:textId="0203B50F" w:rsidR="00636D5A" w:rsidRPr="00086D8A" w:rsidRDefault="00636D5A" w:rsidP="00086D8A">
        <w:pPr>
          <w:pStyle w:val="Header"/>
          <w:jc w:val="center"/>
          <w:rPr>
            <w:sz w:val="26"/>
          </w:rPr>
        </w:pPr>
        <w:r w:rsidRPr="00086D8A">
          <w:rPr>
            <w:sz w:val="26"/>
          </w:rPr>
          <w:fldChar w:fldCharType="begin"/>
        </w:r>
        <w:r w:rsidRPr="00086D8A">
          <w:rPr>
            <w:sz w:val="26"/>
          </w:rPr>
          <w:instrText xml:space="preserve"> PAGE   \* MERGEFORMAT </w:instrText>
        </w:r>
        <w:r w:rsidRPr="00086D8A">
          <w:rPr>
            <w:sz w:val="26"/>
          </w:rPr>
          <w:fldChar w:fldCharType="separate"/>
        </w:r>
        <w:r w:rsidR="004437A7">
          <w:rPr>
            <w:noProof/>
            <w:sz w:val="26"/>
          </w:rPr>
          <w:t>3</w:t>
        </w:r>
        <w:r w:rsidRPr="00086D8A">
          <w:rPr>
            <w:noProof/>
            <w:sz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5FA"/>
    <w:multiLevelType w:val="hybridMultilevel"/>
    <w:tmpl w:val="F4868344"/>
    <w:lvl w:ilvl="0" w:tplc="3CAACCF8">
      <w:start w:val="1"/>
      <w:numFmt w:val="decimal"/>
      <w:lvlText w:val="%1."/>
      <w:lvlJc w:val="left"/>
      <w:pPr>
        <w:ind w:left="1512" w:hanging="912"/>
      </w:pPr>
      <w:rPr>
        <w:rFonts w:hint="default"/>
        <w:b/>
        <w:i/>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6E22AAA"/>
    <w:multiLevelType w:val="hybridMultilevel"/>
    <w:tmpl w:val="844CD70E"/>
    <w:lvl w:ilvl="0" w:tplc="1F52E29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24E6827"/>
    <w:multiLevelType w:val="hybridMultilevel"/>
    <w:tmpl w:val="B55862C4"/>
    <w:lvl w:ilvl="0" w:tplc="52FAC8B8">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14464E"/>
    <w:multiLevelType w:val="hybridMultilevel"/>
    <w:tmpl w:val="24B0DE2A"/>
    <w:lvl w:ilvl="0" w:tplc="14682B44">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4" w15:restartNumberingAfterBreak="0">
    <w:nsid w:val="3CD86295"/>
    <w:multiLevelType w:val="hybridMultilevel"/>
    <w:tmpl w:val="D730C84C"/>
    <w:lvl w:ilvl="0" w:tplc="D4FC42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8C73504"/>
    <w:multiLevelType w:val="hybridMultilevel"/>
    <w:tmpl w:val="EC38E928"/>
    <w:lvl w:ilvl="0" w:tplc="695C6BD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571F19B4"/>
    <w:multiLevelType w:val="hybridMultilevel"/>
    <w:tmpl w:val="B6F43240"/>
    <w:lvl w:ilvl="0" w:tplc="D23E1D6A">
      <w:start w:val="1"/>
      <w:numFmt w:val="lowerLetter"/>
      <w:lvlText w:val="%1)"/>
      <w:lvlJc w:val="left"/>
      <w:pPr>
        <w:ind w:left="8015" w:hanging="360"/>
      </w:pPr>
      <w:rPr>
        <w:rFonts w:hint="default"/>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7" w15:restartNumberingAfterBreak="0">
    <w:nsid w:val="60A3068B"/>
    <w:multiLevelType w:val="hybridMultilevel"/>
    <w:tmpl w:val="9A02A5C4"/>
    <w:lvl w:ilvl="0" w:tplc="3E2EB77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EE7FB2"/>
    <w:multiLevelType w:val="hybridMultilevel"/>
    <w:tmpl w:val="205CEF3C"/>
    <w:lvl w:ilvl="0" w:tplc="5A70E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FF1151C"/>
    <w:multiLevelType w:val="hybridMultilevel"/>
    <w:tmpl w:val="E1BECBF6"/>
    <w:lvl w:ilvl="0" w:tplc="18E088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8"/>
  </w:num>
  <w:num w:numId="4">
    <w:abstractNumId w:val="3"/>
  </w:num>
  <w:num w:numId="5">
    <w:abstractNumId w:val="9"/>
  </w:num>
  <w:num w:numId="6">
    <w:abstractNumId w:val="6"/>
  </w:num>
  <w:num w:numId="7">
    <w:abstractNumId w:val="7"/>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90"/>
    <w:rsid w:val="0000216F"/>
    <w:rsid w:val="00010B4F"/>
    <w:rsid w:val="000149D0"/>
    <w:rsid w:val="00015422"/>
    <w:rsid w:val="000168AF"/>
    <w:rsid w:val="000237E0"/>
    <w:rsid w:val="00024459"/>
    <w:rsid w:val="00025D2A"/>
    <w:rsid w:val="00026011"/>
    <w:rsid w:val="00027E71"/>
    <w:rsid w:val="00032B62"/>
    <w:rsid w:val="00036BE1"/>
    <w:rsid w:val="00043340"/>
    <w:rsid w:val="00043464"/>
    <w:rsid w:val="00050A5A"/>
    <w:rsid w:val="00053202"/>
    <w:rsid w:val="00055221"/>
    <w:rsid w:val="00055865"/>
    <w:rsid w:val="00061992"/>
    <w:rsid w:val="000629AC"/>
    <w:rsid w:val="00063B7D"/>
    <w:rsid w:val="00070459"/>
    <w:rsid w:val="000705F5"/>
    <w:rsid w:val="00073093"/>
    <w:rsid w:val="00074005"/>
    <w:rsid w:val="000767A0"/>
    <w:rsid w:val="00076E87"/>
    <w:rsid w:val="00080B0A"/>
    <w:rsid w:val="00086D8A"/>
    <w:rsid w:val="00092C4E"/>
    <w:rsid w:val="00096DAD"/>
    <w:rsid w:val="000973A2"/>
    <w:rsid w:val="00097FD6"/>
    <w:rsid w:val="000A22FD"/>
    <w:rsid w:val="000A43BD"/>
    <w:rsid w:val="000A5F1B"/>
    <w:rsid w:val="000B020E"/>
    <w:rsid w:val="000B6981"/>
    <w:rsid w:val="000B6B5C"/>
    <w:rsid w:val="000B7E2F"/>
    <w:rsid w:val="000C4574"/>
    <w:rsid w:val="000E5BB0"/>
    <w:rsid w:val="000E738A"/>
    <w:rsid w:val="000F40D4"/>
    <w:rsid w:val="000F4D54"/>
    <w:rsid w:val="000F5F3A"/>
    <w:rsid w:val="00102506"/>
    <w:rsid w:val="00105957"/>
    <w:rsid w:val="00110A12"/>
    <w:rsid w:val="00114B36"/>
    <w:rsid w:val="00114E05"/>
    <w:rsid w:val="0012237C"/>
    <w:rsid w:val="00123B25"/>
    <w:rsid w:val="00124CC6"/>
    <w:rsid w:val="001272F0"/>
    <w:rsid w:val="00133730"/>
    <w:rsid w:val="00135181"/>
    <w:rsid w:val="00137205"/>
    <w:rsid w:val="00137B9E"/>
    <w:rsid w:val="001421F4"/>
    <w:rsid w:val="0014366C"/>
    <w:rsid w:val="00144BF5"/>
    <w:rsid w:val="001478CF"/>
    <w:rsid w:val="001623C9"/>
    <w:rsid w:val="0016444F"/>
    <w:rsid w:val="0016700D"/>
    <w:rsid w:val="001679F0"/>
    <w:rsid w:val="00167C26"/>
    <w:rsid w:val="0017197D"/>
    <w:rsid w:val="00174159"/>
    <w:rsid w:val="00181233"/>
    <w:rsid w:val="001836C2"/>
    <w:rsid w:val="001842D0"/>
    <w:rsid w:val="001875A8"/>
    <w:rsid w:val="00190E97"/>
    <w:rsid w:val="001951E2"/>
    <w:rsid w:val="0019623C"/>
    <w:rsid w:val="001B0709"/>
    <w:rsid w:val="001B7B1C"/>
    <w:rsid w:val="001C75E3"/>
    <w:rsid w:val="001D01A7"/>
    <w:rsid w:val="001D028D"/>
    <w:rsid w:val="001D3394"/>
    <w:rsid w:val="001D5FE8"/>
    <w:rsid w:val="001E0109"/>
    <w:rsid w:val="001E2940"/>
    <w:rsid w:val="001E323A"/>
    <w:rsid w:val="001E5112"/>
    <w:rsid w:val="001E6523"/>
    <w:rsid w:val="001F661D"/>
    <w:rsid w:val="001F7429"/>
    <w:rsid w:val="002034CD"/>
    <w:rsid w:val="00205ACD"/>
    <w:rsid w:val="00207AB5"/>
    <w:rsid w:val="00220C51"/>
    <w:rsid w:val="002214BC"/>
    <w:rsid w:val="00221AB5"/>
    <w:rsid w:val="002229A5"/>
    <w:rsid w:val="002234FF"/>
    <w:rsid w:val="00223BEF"/>
    <w:rsid w:val="00226DE5"/>
    <w:rsid w:val="00227C57"/>
    <w:rsid w:val="002336D0"/>
    <w:rsid w:val="0023403F"/>
    <w:rsid w:val="0023581B"/>
    <w:rsid w:val="00237995"/>
    <w:rsid w:val="0024200F"/>
    <w:rsid w:val="002456C4"/>
    <w:rsid w:val="00245C29"/>
    <w:rsid w:val="00250E3E"/>
    <w:rsid w:val="00252111"/>
    <w:rsid w:val="00253DC5"/>
    <w:rsid w:val="002543DF"/>
    <w:rsid w:val="0026104D"/>
    <w:rsid w:val="00262AA6"/>
    <w:rsid w:val="00263B15"/>
    <w:rsid w:val="00264A71"/>
    <w:rsid w:val="0026715F"/>
    <w:rsid w:val="00271E12"/>
    <w:rsid w:val="00273C82"/>
    <w:rsid w:val="002819D3"/>
    <w:rsid w:val="00281BA9"/>
    <w:rsid w:val="002A491D"/>
    <w:rsid w:val="002A54F7"/>
    <w:rsid w:val="002B1333"/>
    <w:rsid w:val="002B216A"/>
    <w:rsid w:val="002B3BDF"/>
    <w:rsid w:val="002B5A3A"/>
    <w:rsid w:val="002B734F"/>
    <w:rsid w:val="002C0CFA"/>
    <w:rsid w:val="002C176F"/>
    <w:rsid w:val="002C1F76"/>
    <w:rsid w:val="002C2246"/>
    <w:rsid w:val="002C46CB"/>
    <w:rsid w:val="002C653D"/>
    <w:rsid w:val="002D0F1D"/>
    <w:rsid w:val="002D2157"/>
    <w:rsid w:val="002D28E3"/>
    <w:rsid w:val="002D5011"/>
    <w:rsid w:val="002F2AA4"/>
    <w:rsid w:val="002F2AD0"/>
    <w:rsid w:val="002F32B1"/>
    <w:rsid w:val="002F4C9E"/>
    <w:rsid w:val="002F5367"/>
    <w:rsid w:val="002F6F94"/>
    <w:rsid w:val="003059EB"/>
    <w:rsid w:val="00305FD8"/>
    <w:rsid w:val="00313758"/>
    <w:rsid w:val="00315F53"/>
    <w:rsid w:val="00321C09"/>
    <w:rsid w:val="003249D4"/>
    <w:rsid w:val="00326390"/>
    <w:rsid w:val="00332E87"/>
    <w:rsid w:val="00333BBF"/>
    <w:rsid w:val="003346E6"/>
    <w:rsid w:val="00335809"/>
    <w:rsid w:val="00336C47"/>
    <w:rsid w:val="00336E65"/>
    <w:rsid w:val="00337FDB"/>
    <w:rsid w:val="003435F3"/>
    <w:rsid w:val="00344CA6"/>
    <w:rsid w:val="00350380"/>
    <w:rsid w:val="00351891"/>
    <w:rsid w:val="003543CD"/>
    <w:rsid w:val="003578AB"/>
    <w:rsid w:val="0036061B"/>
    <w:rsid w:val="00360A04"/>
    <w:rsid w:val="00361354"/>
    <w:rsid w:val="00365C7E"/>
    <w:rsid w:val="003720FD"/>
    <w:rsid w:val="003721FA"/>
    <w:rsid w:val="0037724F"/>
    <w:rsid w:val="003A5DB9"/>
    <w:rsid w:val="003A746E"/>
    <w:rsid w:val="003B1257"/>
    <w:rsid w:val="003B6BEB"/>
    <w:rsid w:val="003C07BB"/>
    <w:rsid w:val="003C1EDD"/>
    <w:rsid w:val="003C22E5"/>
    <w:rsid w:val="003C3BD0"/>
    <w:rsid w:val="003C7DB8"/>
    <w:rsid w:val="003D045A"/>
    <w:rsid w:val="003D04FD"/>
    <w:rsid w:val="003D499D"/>
    <w:rsid w:val="003D6930"/>
    <w:rsid w:val="003D6D85"/>
    <w:rsid w:val="003E076F"/>
    <w:rsid w:val="003E1B0C"/>
    <w:rsid w:val="003E205D"/>
    <w:rsid w:val="003E3B42"/>
    <w:rsid w:val="003E5F2F"/>
    <w:rsid w:val="003E6FCA"/>
    <w:rsid w:val="003E7865"/>
    <w:rsid w:val="003F16FC"/>
    <w:rsid w:val="003F2CEC"/>
    <w:rsid w:val="003F4942"/>
    <w:rsid w:val="003F51E5"/>
    <w:rsid w:val="00400ECB"/>
    <w:rsid w:val="00402F6C"/>
    <w:rsid w:val="004031AA"/>
    <w:rsid w:val="00403B34"/>
    <w:rsid w:val="004053AC"/>
    <w:rsid w:val="00414A0B"/>
    <w:rsid w:val="004172E8"/>
    <w:rsid w:val="00420774"/>
    <w:rsid w:val="004222CA"/>
    <w:rsid w:val="00430084"/>
    <w:rsid w:val="004308CC"/>
    <w:rsid w:val="00432AEE"/>
    <w:rsid w:val="00433A4D"/>
    <w:rsid w:val="00440221"/>
    <w:rsid w:val="00443428"/>
    <w:rsid w:val="004437A7"/>
    <w:rsid w:val="004459AA"/>
    <w:rsid w:val="00453516"/>
    <w:rsid w:val="00454695"/>
    <w:rsid w:val="00455392"/>
    <w:rsid w:val="00455474"/>
    <w:rsid w:val="00463C27"/>
    <w:rsid w:val="0046500E"/>
    <w:rsid w:val="00471728"/>
    <w:rsid w:val="00477565"/>
    <w:rsid w:val="0048256D"/>
    <w:rsid w:val="00492950"/>
    <w:rsid w:val="004947B6"/>
    <w:rsid w:val="004A126D"/>
    <w:rsid w:val="004A1F74"/>
    <w:rsid w:val="004A3539"/>
    <w:rsid w:val="004A3B0C"/>
    <w:rsid w:val="004A4698"/>
    <w:rsid w:val="004A5843"/>
    <w:rsid w:val="004B045C"/>
    <w:rsid w:val="004B70EC"/>
    <w:rsid w:val="004B7946"/>
    <w:rsid w:val="004C0AE9"/>
    <w:rsid w:val="004C2B77"/>
    <w:rsid w:val="004C545F"/>
    <w:rsid w:val="004D5752"/>
    <w:rsid w:val="004D688C"/>
    <w:rsid w:val="004E2C18"/>
    <w:rsid w:val="004E47B4"/>
    <w:rsid w:val="004F2A3D"/>
    <w:rsid w:val="004F67A1"/>
    <w:rsid w:val="00500B92"/>
    <w:rsid w:val="00504909"/>
    <w:rsid w:val="005075A6"/>
    <w:rsid w:val="00514AA7"/>
    <w:rsid w:val="00516DE5"/>
    <w:rsid w:val="00517A8B"/>
    <w:rsid w:val="005203AB"/>
    <w:rsid w:val="00520A32"/>
    <w:rsid w:val="00523F3B"/>
    <w:rsid w:val="00526238"/>
    <w:rsid w:val="00526BC2"/>
    <w:rsid w:val="005304EE"/>
    <w:rsid w:val="00532E2F"/>
    <w:rsid w:val="0053364D"/>
    <w:rsid w:val="00536A96"/>
    <w:rsid w:val="00537B1B"/>
    <w:rsid w:val="00537F42"/>
    <w:rsid w:val="00547AE5"/>
    <w:rsid w:val="00551819"/>
    <w:rsid w:val="0056547C"/>
    <w:rsid w:val="005675CE"/>
    <w:rsid w:val="005733B4"/>
    <w:rsid w:val="005733F1"/>
    <w:rsid w:val="0057494E"/>
    <w:rsid w:val="005750AE"/>
    <w:rsid w:val="00580011"/>
    <w:rsid w:val="00580A89"/>
    <w:rsid w:val="00586346"/>
    <w:rsid w:val="005916C3"/>
    <w:rsid w:val="00592346"/>
    <w:rsid w:val="00595E91"/>
    <w:rsid w:val="00597639"/>
    <w:rsid w:val="005A2226"/>
    <w:rsid w:val="005A459F"/>
    <w:rsid w:val="005A4629"/>
    <w:rsid w:val="005A68F2"/>
    <w:rsid w:val="005A770B"/>
    <w:rsid w:val="005B2F78"/>
    <w:rsid w:val="005B340E"/>
    <w:rsid w:val="005C0DDD"/>
    <w:rsid w:val="005C3B66"/>
    <w:rsid w:val="005C55A9"/>
    <w:rsid w:val="005C73D9"/>
    <w:rsid w:val="005C7402"/>
    <w:rsid w:val="005D0844"/>
    <w:rsid w:val="005D0CC4"/>
    <w:rsid w:val="005D4415"/>
    <w:rsid w:val="005E5907"/>
    <w:rsid w:val="005F156A"/>
    <w:rsid w:val="005F44E9"/>
    <w:rsid w:val="00610E59"/>
    <w:rsid w:val="00611BDC"/>
    <w:rsid w:val="006122F7"/>
    <w:rsid w:val="00613094"/>
    <w:rsid w:val="00617067"/>
    <w:rsid w:val="00622736"/>
    <w:rsid w:val="006249E3"/>
    <w:rsid w:val="00626012"/>
    <w:rsid w:val="0063082F"/>
    <w:rsid w:val="00631638"/>
    <w:rsid w:val="0063308B"/>
    <w:rsid w:val="00635138"/>
    <w:rsid w:val="00636D5A"/>
    <w:rsid w:val="00640340"/>
    <w:rsid w:val="00643A74"/>
    <w:rsid w:val="0064438F"/>
    <w:rsid w:val="0064501C"/>
    <w:rsid w:val="00647B1F"/>
    <w:rsid w:val="00652713"/>
    <w:rsid w:val="006528AA"/>
    <w:rsid w:val="00652E71"/>
    <w:rsid w:val="00654993"/>
    <w:rsid w:val="006562E9"/>
    <w:rsid w:val="00656D3A"/>
    <w:rsid w:val="00663C73"/>
    <w:rsid w:val="00664B03"/>
    <w:rsid w:val="00671F13"/>
    <w:rsid w:val="00672E45"/>
    <w:rsid w:val="00677ECD"/>
    <w:rsid w:val="00690FAE"/>
    <w:rsid w:val="006928C4"/>
    <w:rsid w:val="006949CD"/>
    <w:rsid w:val="00696900"/>
    <w:rsid w:val="006A57DD"/>
    <w:rsid w:val="006A786B"/>
    <w:rsid w:val="006B072D"/>
    <w:rsid w:val="006B3436"/>
    <w:rsid w:val="006B4DFE"/>
    <w:rsid w:val="006C19E4"/>
    <w:rsid w:val="006C41E6"/>
    <w:rsid w:val="006C4E5A"/>
    <w:rsid w:val="006C6FD1"/>
    <w:rsid w:val="006D32F8"/>
    <w:rsid w:val="006D5BC5"/>
    <w:rsid w:val="006D6047"/>
    <w:rsid w:val="006E0C5E"/>
    <w:rsid w:val="006E14E1"/>
    <w:rsid w:val="006E3C98"/>
    <w:rsid w:val="006F0423"/>
    <w:rsid w:val="006F250F"/>
    <w:rsid w:val="006F343E"/>
    <w:rsid w:val="006F4182"/>
    <w:rsid w:val="006F666D"/>
    <w:rsid w:val="00700E19"/>
    <w:rsid w:val="0070459B"/>
    <w:rsid w:val="007055C9"/>
    <w:rsid w:val="00710E0B"/>
    <w:rsid w:val="0071137F"/>
    <w:rsid w:val="00713915"/>
    <w:rsid w:val="007216EB"/>
    <w:rsid w:val="007217F5"/>
    <w:rsid w:val="0072188D"/>
    <w:rsid w:val="007219AB"/>
    <w:rsid w:val="0072293D"/>
    <w:rsid w:val="00727D71"/>
    <w:rsid w:val="0073369D"/>
    <w:rsid w:val="00734392"/>
    <w:rsid w:val="00735029"/>
    <w:rsid w:val="00744121"/>
    <w:rsid w:val="00745304"/>
    <w:rsid w:val="007466F3"/>
    <w:rsid w:val="00751A18"/>
    <w:rsid w:val="00751B47"/>
    <w:rsid w:val="007570F8"/>
    <w:rsid w:val="00760753"/>
    <w:rsid w:val="007610BC"/>
    <w:rsid w:val="00761F2A"/>
    <w:rsid w:val="007621EC"/>
    <w:rsid w:val="007732EE"/>
    <w:rsid w:val="00775DB6"/>
    <w:rsid w:val="00781F0B"/>
    <w:rsid w:val="00786E09"/>
    <w:rsid w:val="0079039C"/>
    <w:rsid w:val="00794E10"/>
    <w:rsid w:val="00796036"/>
    <w:rsid w:val="007A345E"/>
    <w:rsid w:val="007A417C"/>
    <w:rsid w:val="007B28D1"/>
    <w:rsid w:val="007C7EB6"/>
    <w:rsid w:val="007D2CF1"/>
    <w:rsid w:val="007D39AA"/>
    <w:rsid w:val="007D74E4"/>
    <w:rsid w:val="007E2895"/>
    <w:rsid w:val="007E3685"/>
    <w:rsid w:val="007F1F1E"/>
    <w:rsid w:val="007F414E"/>
    <w:rsid w:val="008018F1"/>
    <w:rsid w:val="0081200C"/>
    <w:rsid w:val="00814B39"/>
    <w:rsid w:val="00814E77"/>
    <w:rsid w:val="00817D7C"/>
    <w:rsid w:val="008221CA"/>
    <w:rsid w:val="00823CF3"/>
    <w:rsid w:val="00825774"/>
    <w:rsid w:val="008263F4"/>
    <w:rsid w:val="008268D1"/>
    <w:rsid w:val="00827FDC"/>
    <w:rsid w:val="0083280F"/>
    <w:rsid w:val="00834E55"/>
    <w:rsid w:val="00846511"/>
    <w:rsid w:val="00847505"/>
    <w:rsid w:val="00852D24"/>
    <w:rsid w:val="008546C7"/>
    <w:rsid w:val="0085743E"/>
    <w:rsid w:val="0086085D"/>
    <w:rsid w:val="00870B81"/>
    <w:rsid w:val="00875D6A"/>
    <w:rsid w:val="008771FD"/>
    <w:rsid w:val="008773D0"/>
    <w:rsid w:val="00877644"/>
    <w:rsid w:val="00880464"/>
    <w:rsid w:val="00881E35"/>
    <w:rsid w:val="008834DD"/>
    <w:rsid w:val="00885D32"/>
    <w:rsid w:val="00886F6D"/>
    <w:rsid w:val="0089391A"/>
    <w:rsid w:val="00897500"/>
    <w:rsid w:val="008A0F7D"/>
    <w:rsid w:val="008A40F0"/>
    <w:rsid w:val="008A63F1"/>
    <w:rsid w:val="008B6A18"/>
    <w:rsid w:val="008B734F"/>
    <w:rsid w:val="008B7EE5"/>
    <w:rsid w:val="008C2C3B"/>
    <w:rsid w:val="008C38D8"/>
    <w:rsid w:val="008C3A96"/>
    <w:rsid w:val="008C4FA9"/>
    <w:rsid w:val="008C5414"/>
    <w:rsid w:val="008C78D4"/>
    <w:rsid w:val="008D53F4"/>
    <w:rsid w:val="008D5E38"/>
    <w:rsid w:val="008D764B"/>
    <w:rsid w:val="008E26CA"/>
    <w:rsid w:val="008F2BD8"/>
    <w:rsid w:val="00904E8C"/>
    <w:rsid w:val="00910A21"/>
    <w:rsid w:val="00917866"/>
    <w:rsid w:val="00923A13"/>
    <w:rsid w:val="00925160"/>
    <w:rsid w:val="009266B0"/>
    <w:rsid w:val="00927C1F"/>
    <w:rsid w:val="0093018C"/>
    <w:rsid w:val="00931A0D"/>
    <w:rsid w:val="00935429"/>
    <w:rsid w:val="00941AA4"/>
    <w:rsid w:val="009448E8"/>
    <w:rsid w:val="00944B80"/>
    <w:rsid w:val="009502CA"/>
    <w:rsid w:val="00952CB8"/>
    <w:rsid w:val="009534EC"/>
    <w:rsid w:val="0095393B"/>
    <w:rsid w:val="00954875"/>
    <w:rsid w:val="00956884"/>
    <w:rsid w:val="00956FEC"/>
    <w:rsid w:val="00957735"/>
    <w:rsid w:val="00962B18"/>
    <w:rsid w:val="009644FB"/>
    <w:rsid w:val="00964AD0"/>
    <w:rsid w:val="00965251"/>
    <w:rsid w:val="00972E07"/>
    <w:rsid w:val="00974960"/>
    <w:rsid w:val="009770A8"/>
    <w:rsid w:val="00977D97"/>
    <w:rsid w:val="00980D5A"/>
    <w:rsid w:val="009813D9"/>
    <w:rsid w:val="00981BB2"/>
    <w:rsid w:val="009847B4"/>
    <w:rsid w:val="0098526D"/>
    <w:rsid w:val="009939F5"/>
    <w:rsid w:val="00994D25"/>
    <w:rsid w:val="00995F15"/>
    <w:rsid w:val="009A7984"/>
    <w:rsid w:val="009B12AD"/>
    <w:rsid w:val="009B65CC"/>
    <w:rsid w:val="009B7309"/>
    <w:rsid w:val="009C54E7"/>
    <w:rsid w:val="009C645D"/>
    <w:rsid w:val="009C75A0"/>
    <w:rsid w:val="009C7EAB"/>
    <w:rsid w:val="009D252E"/>
    <w:rsid w:val="009D39B8"/>
    <w:rsid w:val="009D5578"/>
    <w:rsid w:val="009D5F07"/>
    <w:rsid w:val="009E1639"/>
    <w:rsid w:val="009E531B"/>
    <w:rsid w:val="009F0716"/>
    <w:rsid w:val="009F0DCD"/>
    <w:rsid w:val="009F1FBC"/>
    <w:rsid w:val="009F2A34"/>
    <w:rsid w:val="009F4A00"/>
    <w:rsid w:val="009F640F"/>
    <w:rsid w:val="00A02D7E"/>
    <w:rsid w:val="00A11A3F"/>
    <w:rsid w:val="00A12A75"/>
    <w:rsid w:val="00A1756E"/>
    <w:rsid w:val="00A178C6"/>
    <w:rsid w:val="00A26122"/>
    <w:rsid w:val="00A27E19"/>
    <w:rsid w:val="00A3035A"/>
    <w:rsid w:val="00A317B8"/>
    <w:rsid w:val="00A3180D"/>
    <w:rsid w:val="00A32181"/>
    <w:rsid w:val="00A34747"/>
    <w:rsid w:val="00A347F4"/>
    <w:rsid w:val="00A36A39"/>
    <w:rsid w:val="00A41E40"/>
    <w:rsid w:val="00A44651"/>
    <w:rsid w:val="00A47986"/>
    <w:rsid w:val="00A52E7F"/>
    <w:rsid w:val="00A55F6F"/>
    <w:rsid w:val="00A56CE8"/>
    <w:rsid w:val="00A6445C"/>
    <w:rsid w:val="00A75F6F"/>
    <w:rsid w:val="00A77906"/>
    <w:rsid w:val="00A77CCF"/>
    <w:rsid w:val="00A86B3D"/>
    <w:rsid w:val="00A911B5"/>
    <w:rsid w:val="00A91360"/>
    <w:rsid w:val="00A94BD2"/>
    <w:rsid w:val="00AA1546"/>
    <w:rsid w:val="00AA226D"/>
    <w:rsid w:val="00AA3678"/>
    <w:rsid w:val="00AA3C8D"/>
    <w:rsid w:val="00AA50D4"/>
    <w:rsid w:val="00AA6981"/>
    <w:rsid w:val="00AB0B04"/>
    <w:rsid w:val="00AB19EA"/>
    <w:rsid w:val="00AB1A2E"/>
    <w:rsid w:val="00AB38EE"/>
    <w:rsid w:val="00AB522A"/>
    <w:rsid w:val="00AB5E12"/>
    <w:rsid w:val="00AC018F"/>
    <w:rsid w:val="00AC3FF0"/>
    <w:rsid w:val="00AC46D1"/>
    <w:rsid w:val="00AC6B01"/>
    <w:rsid w:val="00AD0483"/>
    <w:rsid w:val="00AD0D33"/>
    <w:rsid w:val="00AD1158"/>
    <w:rsid w:val="00AD6C1D"/>
    <w:rsid w:val="00AD7907"/>
    <w:rsid w:val="00AE223B"/>
    <w:rsid w:val="00AE395B"/>
    <w:rsid w:val="00AE494F"/>
    <w:rsid w:val="00AE51EB"/>
    <w:rsid w:val="00AF207A"/>
    <w:rsid w:val="00AF75CE"/>
    <w:rsid w:val="00AF7D90"/>
    <w:rsid w:val="00B068A9"/>
    <w:rsid w:val="00B101BA"/>
    <w:rsid w:val="00B10314"/>
    <w:rsid w:val="00B1118B"/>
    <w:rsid w:val="00B11D22"/>
    <w:rsid w:val="00B16145"/>
    <w:rsid w:val="00B16617"/>
    <w:rsid w:val="00B2031D"/>
    <w:rsid w:val="00B22145"/>
    <w:rsid w:val="00B2697A"/>
    <w:rsid w:val="00B3118D"/>
    <w:rsid w:val="00B31A2C"/>
    <w:rsid w:val="00B344AC"/>
    <w:rsid w:val="00B34BAD"/>
    <w:rsid w:val="00B36B7D"/>
    <w:rsid w:val="00B405AF"/>
    <w:rsid w:val="00B431E4"/>
    <w:rsid w:val="00B46938"/>
    <w:rsid w:val="00B46A96"/>
    <w:rsid w:val="00B471CF"/>
    <w:rsid w:val="00B50C3B"/>
    <w:rsid w:val="00B50CD7"/>
    <w:rsid w:val="00B51820"/>
    <w:rsid w:val="00B518BD"/>
    <w:rsid w:val="00B70561"/>
    <w:rsid w:val="00B719C7"/>
    <w:rsid w:val="00B740D3"/>
    <w:rsid w:val="00B742DD"/>
    <w:rsid w:val="00B7573E"/>
    <w:rsid w:val="00B7678F"/>
    <w:rsid w:val="00B84F4E"/>
    <w:rsid w:val="00B86526"/>
    <w:rsid w:val="00B90310"/>
    <w:rsid w:val="00B913E4"/>
    <w:rsid w:val="00BA2CBB"/>
    <w:rsid w:val="00BA371A"/>
    <w:rsid w:val="00BB170E"/>
    <w:rsid w:val="00BB19A0"/>
    <w:rsid w:val="00BB51AC"/>
    <w:rsid w:val="00BB632F"/>
    <w:rsid w:val="00BC0635"/>
    <w:rsid w:val="00BC28AE"/>
    <w:rsid w:val="00BC3C6F"/>
    <w:rsid w:val="00BC594B"/>
    <w:rsid w:val="00BD084A"/>
    <w:rsid w:val="00BD1A3B"/>
    <w:rsid w:val="00BE0AE3"/>
    <w:rsid w:val="00BE26C8"/>
    <w:rsid w:val="00BE3E22"/>
    <w:rsid w:val="00BE489A"/>
    <w:rsid w:val="00BE5CBD"/>
    <w:rsid w:val="00BF2FF6"/>
    <w:rsid w:val="00BF3FCD"/>
    <w:rsid w:val="00C00FC2"/>
    <w:rsid w:val="00C0138F"/>
    <w:rsid w:val="00C016C4"/>
    <w:rsid w:val="00C04555"/>
    <w:rsid w:val="00C04602"/>
    <w:rsid w:val="00C06806"/>
    <w:rsid w:val="00C23CDF"/>
    <w:rsid w:val="00C23D19"/>
    <w:rsid w:val="00C35372"/>
    <w:rsid w:val="00C35691"/>
    <w:rsid w:val="00C4503E"/>
    <w:rsid w:val="00C452B6"/>
    <w:rsid w:val="00C47077"/>
    <w:rsid w:val="00C555A0"/>
    <w:rsid w:val="00C573AA"/>
    <w:rsid w:val="00C63E7B"/>
    <w:rsid w:val="00C65019"/>
    <w:rsid w:val="00C6683B"/>
    <w:rsid w:val="00C706C2"/>
    <w:rsid w:val="00C76A0D"/>
    <w:rsid w:val="00C77C3D"/>
    <w:rsid w:val="00C8178D"/>
    <w:rsid w:val="00C84E48"/>
    <w:rsid w:val="00C86840"/>
    <w:rsid w:val="00C976FD"/>
    <w:rsid w:val="00CA3705"/>
    <w:rsid w:val="00CA558E"/>
    <w:rsid w:val="00CB4618"/>
    <w:rsid w:val="00CC0EB6"/>
    <w:rsid w:val="00CC2018"/>
    <w:rsid w:val="00CD1A49"/>
    <w:rsid w:val="00CD31F5"/>
    <w:rsid w:val="00CD67EE"/>
    <w:rsid w:val="00CD70A4"/>
    <w:rsid w:val="00CE20EB"/>
    <w:rsid w:val="00CE47D4"/>
    <w:rsid w:val="00CE6A60"/>
    <w:rsid w:val="00CF6F9A"/>
    <w:rsid w:val="00D02B4E"/>
    <w:rsid w:val="00D108CD"/>
    <w:rsid w:val="00D1095C"/>
    <w:rsid w:val="00D1228C"/>
    <w:rsid w:val="00D125B4"/>
    <w:rsid w:val="00D1345A"/>
    <w:rsid w:val="00D163DE"/>
    <w:rsid w:val="00D22450"/>
    <w:rsid w:val="00D24022"/>
    <w:rsid w:val="00D269F2"/>
    <w:rsid w:val="00D30979"/>
    <w:rsid w:val="00D366BC"/>
    <w:rsid w:val="00D42D8E"/>
    <w:rsid w:val="00D42DA7"/>
    <w:rsid w:val="00D472CD"/>
    <w:rsid w:val="00D50C15"/>
    <w:rsid w:val="00D53446"/>
    <w:rsid w:val="00D6144B"/>
    <w:rsid w:val="00D73084"/>
    <w:rsid w:val="00D814BB"/>
    <w:rsid w:val="00D821D9"/>
    <w:rsid w:val="00D84E2D"/>
    <w:rsid w:val="00D855BC"/>
    <w:rsid w:val="00D85EB6"/>
    <w:rsid w:val="00D8652B"/>
    <w:rsid w:val="00D86A16"/>
    <w:rsid w:val="00D92822"/>
    <w:rsid w:val="00D936DB"/>
    <w:rsid w:val="00D958C3"/>
    <w:rsid w:val="00D966B6"/>
    <w:rsid w:val="00DA0FC7"/>
    <w:rsid w:val="00DA3011"/>
    <w:rsid w:val="00DA42EE"/>
    <w:rsid w:val="00DB40A7"/>
    <w:rsid w:val="00DC1020"/>
    <w:rsid w:val="00DC1C74"/>
    <w:rsid w:val="00DC4ADD"/>
    <w:rsid w:val="00DC677B"/>
    <w:rsid w:val="00DC6A59"/>
    <w:rsid w:val="00DD1113"/>
    <w:rsid w:val="00DD3050"/>
    <w:rsid w:val="00DE2F33"/>
    <w:rsid w:val="00DE3729"/>
    <w:rsid w:val="00DE70A6"/>
    <w:rsid w:val="00DF1044"/>
    <w:rsid w:val="00DF7554"/>
    <w:rsid w:val="00E02780"/>
    <w:rsid w:val="00E03C7E"/>
    <w:rsid w:val="00E049AE"/>
    <w:rsid w:val="00E059CE"/>
    <w:rsid w:val="00E20A90"/>
    <w:rsid w:val="00E27F41"/>
    <w:rsid w:val="00E40459"/>
    <w:rsid w:val="00E42311"/>
    <w:rsid w:val="00E452F8"/>
    <w:rsid w:val="00E45991"/>
    <w:rsid w:val="00E46EBC"/>
    <w:rsid w:val="00E47607"/>
    <w:rsid w:val="00E51EBA"/>
    <w:rsid w:val="00E52B8B"/>
    <w:rsid w:val="00E54E74"/>
    <w:rsid w:val="00E5744E"/>
    <w:rsid w:val="00E63FA6"/>
    <w:rsid w:val="00E73385"/>
    <w:rsid w:val="00E74998"/>
    <w:rsid w:val="00E84FC0"/>
    <w:rsid w:val="00E86D6F"/>
    <w:rsid w:val="00E87493"/>
    <w:rsid w:val="00E91949"/>
    <w:rsid w:val="00E91E3D"/>
    <w:rsid w:val="00E921F0"/>
    <w:rsid w:val="00E927B9"/>
    <w:rsid w:val="00EA10B2"/>
    <w:rsid w:val="00EA1A20"/>
    <w:rsid w:val="00EA1AF2"/>
    <w:rsid w:val="00EA24A1"/>
    <w:rsid w:val="00EA4B95"/>
    <w:rsid w:val="00EB1BAC"/>
    <w:rsid w:val="00EB3493"/>
    <w:rsid w:val="00EB371E"/>
    <w:rsid w:val="00EB5A96"/>
    <w:rsid w:val="00EC2E04"/>
    <w:rsid w:val="00EC3A43"/>
    <w:rsid w:val="00EC48C1"/>
    <w:rsid w:val="00ED0DF3"/>
    <w:rsid w:val="00ED2367"/>
    <w:rsid w:val="00ED3C2E"/>
    <w:rsid w:val="00EE2BE7"/>
    <w:rsid w:val="00EE4C06"/>
    <w:rsid w:val="00EF40CE"/>
    <w:rsid w:val="00EF4945"/>
    <w:rsid w:val="00EF5C24"/>
    <w:rsid w:val="00EF6B8B"/>
    <w:rsid w:val="00EF6E66"/>
    <w:rsid w:val="00F00122"/>
    <w:rsid w:val="00F0575F"/>
    <w:rsid w:val="00F10AA4"/>
    <w:rsid w:val="00F11606"/>
    <w:rsid w:val="00F13AB0"/>
    <w:rsid w:val="00F21E83"/>
    <w:rsid w:val="00F248B2"/>
    <w:rsid w:val="00F26AD0"/>
    <w:rsid w:val="00F362FD"/>
    <w:rsid w:val="00F36991"/>
    <w:rsid w:val="00F41657"/>
    <w:rsid w:val="00F42BBF"/>
    <w:rsid w:val="00F47BB0"/>
    <w:rsid w:val="00F50A01"/>
    <w:rsid w:val="00F60258"/>
    <w:rsid w:val="00F614F0"/>
    <w:rsid w:val="00F6483F"/>
    <w:rsid w:val="00F659C8"/>
    <w:rsid w:val="00F6677D"/>
    <w:rsid w:val="00F670E1"/>
    <w:rsid w:val="00F739CB"/>
    <w:rsid w:val="00F74650"/>
    <w:rsid w:val="00F80C00"/>
    <w:rsid w:val="00F83470"/>
    <w:rsid w:val="00F91977"/>
    <w:rsid w:val="00F94C3F"/>
    <w:rsid w:val="00F95FBE"/>
    <w:rsid w:val="00FA3480"/>
    <w:rsid w:val="00FA6F62"/>
    <w:rsid w:val="00FA77D3"/>
    <w:rsid w:val="00FB1C01"/>
    <w:rsid w:val="00FB59D5"/>
    <w:rsid w:val="00FC65D3"/>
    <w:rsid w:val="00FD2CBE"/>
    <w:rsid w:val="00FD47E8"/>
    <w:rsid w:val="00FE16EE"/>
    <w:rsid w:val="00FE21A2"/>
    <w:rsid w:val="00FE3224"/>
    <w:rsid w:val="00FE4501"/>
    <w:rsid w:val="00FE55CD"/>
    <w:rsid w:val="00FF0B65"/>
    <w:rsid w:val="00FF5B7D"/>
    <w:rsid w:val="00FF6075"/>
    <w:rsid w:val="00FF65F7"/>
    <w:rsid w:val="00FF682C"/>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9B96"/>
  <w15:docId w15:val="{108D9340-6ED0-47E5-9817-EA6FBEA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390"/>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32639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26390"/>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rsid w:val="00326390"/>
    <w:pPr>
      <w:spacing w:before="120" w:after="120"/>
      <w:ind w:firstLine="720"/>
      <w:jc w:val="both"/>
    </w:pPr>
    <w:rPr>
      <w:sz w:val="28"/>
      <w:lang w:val="vi-VN" w:eastAsia="vi-VN"/>
    </w:rPr>
  </w:style>
  <w:style w:type="character" w:customStyle="1" w:styleId="BodyTextIndentChar">
    <w:name w:val="Body Text Indent Char"/>
    <w:basedOn w:val="DefaultParagraphFont"/>
    <w:link w:val="BodyTextIndent"/>
    <w:rsid w:val="00326390"/>
    <w:rPr>
      <w:rFonts w:ascii="Times New Roman" w:eastAsia="Times New Roman" w:hAnsi="Times New Roman" w:cs="Times New Roman"/>
      <w:sz w:val="28"/>
      <w:szCs w:val="24"/>
      <w:lang w:val="vi-VN" w:eastAsia="vi-VN"/>
    </w:rPr>
  </w:style>
  <w:style w:type="paragraph" w:styleId="NormalWeb">
    <w:name w:val="Normal (Web)"/>
    <w:aliases w:val="Обычный (веб)1,Обычный (веб) Знак,Обычный (веб) Знак1,Обычный (веб) Знак Знак,webb,Char Char25,Char Char Char Char Char Char Char Char Char Char Char, Char Char25,Char Char Char,Char Char"/>
    <w:basedOn w:val="Normal"/>
    <w:link w:val="NormalWebChar"/>
    <w:uiPriority w:val="99"/>
    <w:qFormat/>
    <w:rsid w:val="00326390"/>
    <w:pPr>
      <w:spacing w:before="100" w:beforeAutospacing="1" w:after="100" w:afterAutospacing="1"/>
    </w:pPr>
  </w:style>
  <w:style w:type="character" w:customStyle="1" w:styleId="apple-converted-space">
    <w:name w:val="apple-converted-space"/>
    <w:basedOn w:val="DefaultParagraphFont"/>
    <w:rsid w:val="00326390"/>
  </w:style>
  <w:style w:type="character" w:styleId="FootnoteReference">
    <w:name w:val="footnote reference"/>
    <w:aliases w:val="Footnote text,ftref,BearingPoint,16 Point,Superscript 6 Point,fr,Footnote Text1,Footnote Text Char Char Char Char Char Char Ch Char Char Char Char Char Char C,f,Ref,de nota al pie,Footnote + Arial,10 pt,Black,Footnote Text11,Footnote"/>
    <w:link w:val="RefCharCharCharCharCharCharCharChar"/>
    <w:uiPriority w:val="99"/>
    <w:qFormat/>
    <w:rsid w:val="007E2895"/>
    <w:rPr>
      <w:vertAlign w:val="superscript"/>
    </w:rPr>
  </w:style>
  <w:style w:type="paragraph" w:styleId="FootnoteText">
    <w:name w:val="footnote text"/>
    <w:basedOn w:val="Normal"/>
    <w:link w:val="FootnoteTextChar"/>
    <w:uiPriority w:val="99"/>
    <w:rsid w:val="007E2895"/>
    <w:rPr>
      <w:sz w:val="20"/>
      <w:szCs w:val="20"/>
    </w:rPr>
  </w:style>
  <w:style w:type="character" w:customStyle="1" w:styleId="FootnoteTextChar">
    <w:name w:val="Footnote Text Char"/>
    <w:basedOn w:val="DefaultParagraphFont"/>
    <w:link w:val="FootnoteText"/>
    <w:uiPriority w:val="99"/>
    <w:rsid w:val="007E2895"/>
    <w:rPr>
      <w:rFonts w:ascii="Times New Roman" w:eastAsia="Times New Roman" w:hAnsi="Times New Roman" w:cs="Times New Roman"/>
      <w:sz w:val="20"/>
      <w:szCs w:val="20"/>
    </w:rPr>
  </w:style>
  <w:style w:type="character" w:customStyle="1" w:styleId="NormalWebChar">
    <w:name w:val="Normal (Web) Char"/>
    <w:aliases w:val="Обычный (веб)1 Char,Обычный (веб) Знак Char,Обычный (веб) Знак1 Char,Обычный (веб) Знак Знак Char,webb Char,Char Char25 Char,Char Char Char Char Char Char Char Char Char Char Char Char, Char Char25 Char,Char Char Char Char"/>
    <w:link w:val="NormalWeb"/>
    <w:uiPriority w:val="99"/>
    <w:qFormat/>
    <w:rsid w:val="007E289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6930"/>
    <w:rPr>
      <w:color w:val="0000FF"/>
      <w:u w:val="single"/>
    </w:rPr>
  </w:style>
  <w:style w:type="paragraph" w:styleId="ListParagraph">
    <w:name w:val="List Paragraph"/>
    <w:aliases w:val="Numbered Paragraph,References,List Paragraph (numbered (a)),Bullets,IBL List Paragraph,List Paragraph nowy,Numbered List Paragraph,ANNEX,List Paragraph1,List Paragraph2,Normal 2,List_Paragraph,Multilevel para_II,Citation List,Resume Title"/>
    <w:basedOn w:val="Normal"/>
    <w:link w:val="ListParagraphChar"/>
    <w:uiPriority w:val="34"/>
    <w:qFormat/>
    <w:rsid w:val="00B7678F"/>
    <w:pPr>
      <w:ind w:left="720"/>
      <w:contextualSpacing/>
    </w:pPr>
  </w:style>
  <w:style w:type="paragraph" w:styleId="BalloonText">
    <w:name w:val="Balloon Text"/>
    <w:basedOn w:val="Normal"/>
    <w:link w:val="BalloonTextChar"/>
    <w:uiPriority w:val="99"/>
    <w:semiHidden/>
    <w:unhideWhenUsed/>
    <w:rsid w:val="00CA3705"/>
    <w:rPr>
      <w:rFonts w:ascii="Tahoma" w:hAnsi="Tahoma" w:cs="Tahoma"/>
      <w:sz w:val="16"/>
      <w:szCs w:val="16"/>
    </w:rPr>
  </w:style>
  <w:style w:type="character" w:customStyle="1" w:styleId="BalloonTextChar">
    <w:name w:val="Balloon Text Char"/>
    <w:basedOn w:val="DefaultParagraphFont"/>
    <w:link w:val="BalloonText"/>
    <w:uiPriority w:val="99"/>
    <w:semiHidden/>
    <w:rsid w:val="00CA3705"/>
    <w:rPr>
      <w:rFonts w:ascii="Tahoma" w:eastAsia="Times New Roman" w:hAnsi="Tahoma" w:cs="Tahoma"/>
      <w:sz w:val="16"/>
      <w:szCs w:val="16"/>
    </w:rPr>
  </w:style>
  <w:style w:type="paragraph" w:styleId="Header">
    <w:name w:val="header"/>
    <w:basedOn w:val="Normal"/>
    <w:link w:val="HeaderChar"/>
    <w:uiPriority w:val="99"/>
    <w:unhideWhenUsed/>
    <w:rsid w:val="00927C1F"/>
    <w:pPr>
      <w:tabs>
        <w:tab w:val="center" w:pos="4680"/>
        <w:tab w:val="right" w:pos="9360"/>
      </w:tabs>
    </w:pPr>
  </w:style>
  <w:style w:type="character" w:customStyle="1" w:styleId="HeaderChar">
    <w:name w:val="Header Char"/>
    <w:basedOn w:val="DefaultParagraphFont"/>
    <w:link w:val="Header"/>
    <w:uiPriority w:val="99"/>
    <w:rsid w:val="00927C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C1F"/>
    <w:pPr>
      <w:tabs>
        <w:tab w:val="center" w:pos="4680"/>
        <w:tab w:val="right" w:pos="9360"/>
      </w:tabs>
    </w:pPr>
  </w:style>
  <w:style w:type="character" w:customStyle="1" w:styleId="FooterChar">
    <w:name w:val="Footer Char"/>
    <w:basedOn w:val="DefaultParagraphFont"/>
    <w:link w:val="Footer"/>
    <w:uiPriority w:val="99"/>
    <w:rsid w:val="00927C1F"/>
    <w:rPr>
      <w:rFonts w:ascii="Times New Roman" w:eastAsia="Times New Roman" w:hAnsi="Times New Roman" w:cs="Times New Roman"/>
      <w:sz w:val="24"/>
      <w:szCs w:val="24"/>
    </w:rPr>
  </w:style>
  <w:style w:type="character" w:customStyle="1" w:styleId="fontstyle01">
    <w:name w:val="fontstyle01"/>
    <w:basedOn w:val="DefaultParagraphFont"/>
    <w:rsid w:val="00FF6075"/>
    <w:rPr>
      <w:rFonts w:ascii="Times New Roman" w:hAnsi="Times New Roman" w:cs="Times New Roman" w:hint="default"/>
      <w:b w:val="0"/>
      <w:bCs w:val="0"/>
      <w:i w:val="0"/>
      <w:iCs w:val="0"/>
      <w:color w:val="000000"/>
      <w:sz w:val="28"/>
      <w:szCs w:val="28"/>
    </w:rPr>
  </w:style>
  <w:style w:type="character" w:customStyle="1" w:styleId="NormalWebChar1">
    <w:name w:val="Normal (Web) Char1"/>
    <w:aliases w:val="Обычный (веб)1 Char1,Обычный (веб) Знак Char1,Обычный (веб) Знак1 Char1,Обычный (веб) Знак Знак Char1,webb Char1,Char Char25 Char1,Char Char Char Char Char Char Char Char Char Char Char Char1"/>
    <w:locked/>
    <w:rsid w:val="0072188D"/>
    <w:rPr>
      <w:noProof/>
      <w:sz w:val="24"/>
      <w:szCs w:val="24"/>
      <w:lang w:val="vi-VN" w:eastAsia="zh-TW"/>
    </w:rPr>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
    <w:uiPriority w:val="34"/>
    <w:qFormat/>
    <w:locked/>
    <w:rsid w:val="00613094"/>
    <w:rPr>
      <w:rFonts w:ascii="Times New Roman" w:eastAsia="Times New Roman" w:hAnsi="Times New Roman" w:cs="Times New Roman"/>
      <w:sz w:val="24"/>
      <w:szCs w:val="24"/>
    </w:rPr>
  </w:style>
  <w:style w:type="paragraph" w:customStyle="1" w:styleId="RefCharCharCharCharCharCharCharChar">
    <w:name w:val="Ref Char Char Char Char Char Char Char Char"/>
    <w:aliases w:val="de nota al pie Char Char Char Char Char Char Char Char,Footnote text + 13 pt Char Char Char Char Char Char Char Char,Footnote text Char Char Char Char Char Char Char Char,ftref Char,Ref Char,Footnote Char"/>
    <w:basedOn w:val="Normal"/>
    <w:link w:val="FootnoteReference"/>
    <w:uiPriority w:val="99"/>
    <w:qFormat/>
    <w:rsid w:val="00E46EBC"/>
    <w:pPr>
      <w:spacing w:after="160" w:line="240" w:lineRule="exact"/>
    </w:pPr>
    <w:rPr>
      <w:rFonts w:asciiTheme="minorHAnsi" w:eastAsiaTheme="minorHAnsi" w:hAnsiTheme="minorHAnsi" w:cstheme="minorBidi"/>
      <w:sz w:val="22"/>
      <w:szCs w:val="22"/>
      <w:vertAlign w:val="superscript"/>
    </w:rPr>
  </w:style>
  <w:style w:type="paragraph" w:styleId="NoSpacing">
    <w:name w:val="No Spacing"/>
    <w:uiPriority w:val="1"/>
    <w:qFormat/>
    <w:rsid w:val="00F0575F"/>
    <w:pPr>
      <w:spacing w:after="0" w:line="240" w:lineRule="auto"/>
    </w:pPr>
    <w:rPr>
      <w:rFonts w:ascii="Calibri" w:eastAsia="Times New Roman" w:hAnsi="Calibri" w:cs="Times New Roman"/>
    </w:rPr>
  </w:style>
  <w:style w:type="table" w:styleId="TableGrid">
    <w:name w:val="Table Grid"/>
    <w:basedOn w:val="TableNormal"/>
    <w:uiPriority w:val="59"/>
    <w:rsid w:val="002B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0E738A"/>
    <w:rPr>
      <w:color w:val="383B46"/>
      <w:sz w:val="28"/>
      <w:szCs w:val="28"/>
    </w:rPr>
  </w:style>
  <w:style w:type="paragraph" w:customStyle="1" w:styleId="Vnbnnidung0">
    <w:name w:val="Văn bản nội dung"/>
    <w:basedOn w:val="Normal"/>
    <w:link w:val="Vnbnnidung"/>
    <w:rsid w:val="000E738A"/>
    <w:pPr>
      <w:widowControl w:val="0"/>
      <w:spacing w:after="100" w:line="266" w:lineRule="auto"/>
      <w:ind w:firstLine="400"/>
    </w:pPr>
    <w:rPr>
      <w:rFonts w:asciiTheme="minorHAnsi" w:eastAsiaTheme="minorHAnsi" w:hAnsiTheme="minorHAnsi" w:cstheme="minorBidi"/>
      <w:color w:val="383B46"/>
      <w:sz w:val="28"/>
      <w:szCs w:val="28"/>
    </w:rPr>
  </w:style>
  <w:style w:type="paragraph" w:styleId="BodyText">
    <w:name w:val="Body Text"/>
    <w:basedOn w:val="Normal"/>
    <w:link w:val="BodyTextChar"/>
    <w:unhideWhenUsed/>
    <w:rsid w:val="00AC6B01"/>
    <w:pPr>
      <w:spacing w:after="120"/>
    </w:pPr>
  </w:style>
  <w:style w:type="character" w:customStyle="1" w:styleId="BodyTextChar">
    <w:name w:val="Body Text Char"/>
    <w:basedOn w:val="DefaultParagraphFont"/>
    <w:link w:val="BodyText"/>
    <w:rsid w:val="00AC6B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1114">
      <w:bodyDiv w:val="1"/>
      <w:marLeft w:val="0"/>
      <w:marRight w:val="0"/>
      <w:marTop w:val="0"/>
      <w:marBottom w:val="0"/>
      <w:divBdr>
        <w:top w:val="none" w:sz="0" w:space="0" w:color="auto"/>
        <w:left w:val="none" w:sz="0" w:space="0" w:color="auto"/>
        <w:bottom w:val="none" w:sz="0" w:space="0" w:color="auto"/>
        <w:right w:val="none" w:sz="0" w:space="0" w:color="auto"/>
      </w:divBdr>
    </w:div>
    <w:div w:id="733772617">
      <w:bodyDiv w:val="1"/>
      <w:marLeft w:val="0"/>
      <w:marRight w:val="0"/>
      <w:marTop w:val="0"/>
      <w:marBottom w:val="0"/>
      <w:divBdr>
        <w:top w:val="none" w:sz="0" w:space="0" w:color="auto"/>
        <w:left w:val="none" w:sz="0" w:space="0" w:color="auto"/>
        <w:bottom w:val="none" w:sz="0" w:space="0" w:color="auto"/>
        <w:right w:val="none" w:sz="0" w:space="0" w:color="auto"/>
      </w:divBdr>
    </w:div>
    <w:div w:id="766773928">
      <w:bodyDiv w:val="1"/>
      <w:marLeft w:val="0"/>
      <w:marRight w:val="0"/>
      <w:marTop w:val="0"/>
      <w:marBottom w:val="0"/>
      <w:divBdr>
        <w:top w:val="none" w:sz="0" w:space="0" w:color="auto"/>
        <w:left w:val="none" w:sz="0" w:space="0" w:color="auto"/>
        <w:bottom w:val="none" w:sz="0" w:space="0" w:color="auto"/>
        <w:right w:val="none" w:sz="0" w:space="0" w:color="auto"/>
      </w:divBdr>
    </w:div>
    <w:div w:id="984815619">
      <w:bodyDiv w:val="1"/>
      <w:marLeft w:val="0"/>
      <w:marRight w:val="0"/>
      <w:marTop w:val="0"/>
      <w:marBottom w:val="0"/>
      <w:divBdr>
        <w:top w:val="none" w:sz="0" w:space="0" w:color="auto"/>
        <w:left w:val="none" w:sz="0" w:space="0" w:color="auto"/>
        <w:bottom w:val="none" w:sz="0" w:space="0" w:color="auto"/>
        <w:right w:val="none" w:sz="0" w:space="0" w:color="auto"/>
      </w:divBdr>
    </w:div>
    <w:div w:id="992486110">
      <w:bodyDiv w:val="1"/>
      <w:marLeft w:val="0"/>
      <w:marRight w:val="0"/>
      <w:marTop w:val="0"/>
      <w:marBottom w:val="0"/>
      <w:divBdr>
        <w:top w:val="none" w:sz="0" w:space="0" w:color="auto"/>
        <w:left w:val="none" w:sz="0" w:space="0" w:color="auto"/>
        <w:bottom w:val="none" w:sz="0" w:space="0" w:color="auto"/>
        <w:right w:val="none" w:sz="0" w:space="0" w:color="auto"/>
      </w:divBdr>
    </w:div>
    <w:div w:id="1188300095">
      <w:bodyDiv w:val="1"/>
      <w:marLeft w:val="0"/>
      <w:marRight w:val="0"/>
      <w:marTop w:val="0"/>
      <w:marBottom w:val="0"/>
      <w:divBdr>
        <w:top w:val="none" w:sz="0" w:space="0" w:color="auto"/>
        <w:left w:val="none" w:sz="0" w:space="0" w:color="auto"/>
        <w:bottom w:val="none" w:sz="0" w:space="0" w:color="auto"/>
        <w:right w:val="none" w:sz="0" w:space="0" w:color="auto"/>
      </w:divBdr>
    </w:div>
    <w:div w:id="1481729182">
      <w:bodyDiv w:val="1"/>
      <w:marLeft w:val="0"/>
      <w:marRight w:val="0"/>
      <w:marTop w:val="0"/>
      <w:marBottom w:val="0"/>
      <w:divBdr>
        <w:top w:val="none" w:sz="0" w:space="0" w:color="auto"/>
        <w:left w:val="none" w:sz="0" w:space="0" w:color="auto"/>
        <w:bottom w:val="none" w:sz="0" w:space="0" w:color="auto"/>
        <w:right w:val="none" w:sz="0" w:space="0" w:color="auto"/>
      </w:divBdr>
    </w:div>
    <w:div w:id="1517109821">
      <w:bodyDiv w:val="1"/>
      <w:marLeft w:val="0"/>
      <w:marRight w:val="0"/>
      <w:marTop w:val="0"/>
      <w:marBottom w:val="0"/>
      <w:divBdr>
        <w:top w:val="none" w:sz="0" w:space="0" w:color="auto"/>
        <w:left w:val="none" w:sz="0" w:space="0" w:color="auto"/>
        <w:bottom w:val="none" w:sz="0" w:space="0" w:color="auto"/>
        <w:right w:val="none" w:sz="0" w:space="0" w:color="auto"/>
      </w:divBdr>
    </w:div>
    <w:div w:id="1591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FA01-45C1-48CA-B391-D88AD63A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8</cp:revision>
  <cp:lastPrinted>2025-10-22T07:31:00Z</cp:lastPrinted>
  <dcterms:created xsi:type="dcterms:W3CDTF">2025-10-23T02:36:00Z</dcterms:created>
  <dcterms:modified xsi:type="dcterms:W3CDTF">2025-10-30T17:36:00Z</dcterms:modified>
</cp:coreProperties>
</file>